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s-ES"/>
        </w:rPr>
        <w:id w:val="551050871"/>
        <w:docPartObj>
          <w:docPartGallery w:val="Table of Contents"/>
          <w:docPartUnique/>
        </w:docPartObj>
      </w:sdtPr>
      <w:sdtEndPr>
        <w:rPr>
          <w:rFonts w:ascii="Arial" w:eastAsiaTheme="minorEastAsia" w:hAnsi="Arial" w:cs="Arial"/>
          <w:color w:val="auto"/>
          <w:sz w:val="24"/>
          <w:szCs w:val="24"/>
          <w:lang w:eastAsia="ja-JP"/>
        </w:rPr>
      </w:sdtEndPr>
      <w:sdtContent>
        <w:p w:rsidR="00A64F27" w:rsidRDefault="00A64F27" w:rsidP="00A64F27">
          <w:pPr>
            <w:pStyle w:val="TtulodeTDC"/>
            <w:jc w:val="center"/>
            <w:rPr>
              <w:rFonts w:ascii="Arial" w:hAnsi="Arial" w:cs="Arial"/>
              <w:sz w:val="36"/>
              <w:szCs w:val="36"/>
              <w:lang w:val="es-ES"/>
            </w:rPr>
          </w:pPr>
          <w:r w:rsidRPr="00A64F27">
            <w:rPr>
              <w:rFonts w:ascii="Arial" w:hAnsi="Arial" w:cs="Arial"/>
              <w:sz w:val="36"/>
              <w:szCs w:val="36"/>
              <w:lang w:val="es-ES"/>
            </w:rPr>
            <w:t>CONTENIDO</w:t>
          </w:r>
        </w:p>
        <w:p w:rsidR="00A64F27" w:rsidRPr="00A64F27" w:rsidRDefault="00A64F27" w:rsidP="00A64F27">
          <w:pPr>
            <w:rPr>
              <w:lang w:eastAsia="es-MX"/>
            </w:rPr>
          </w:pPr>
        </w:p>
        <w:p w:rsidR="00A64F27" w:rsidRPr="00A64F27" w:rsidRDefault="00A64F27" w:rsidP="00A64F27">
          <w:pPr>
            <w:pStyle w:val="TDC1"/>
            <w:tabs>
              <w:tab w:val="left" w:pos="440"/>
              <w:tab w:val="right" w:leader="dot" w:pos="8494"/>
            </w:tabs>
            <w:jc w:val="both"/>
            <w:rPr>
              <w:rFonts w:ascii="Arial" w:hAnsi="Arial" w:cs="Arial"/>
              <w:noProof/>
              <w:color w:val="auto"/>
              <w:szCs w:val="24"/>
              <w:lang w:val="es-MX" w:eastAsia="es-MX"/>
            </w:rPr>
          </w:pPr>
          <w:r w:rsidRPr="00A64F27">
            <w:rPr>
              <w:rFonts w:ascii="Arial" w:hAnsi="Arial" w:cs="Arial"/>
              <w:color w:val="auto"/>
              <w:szCs w:val="24"/>
            </w:rPr>
            <w:fldChar w:fldCharType="begin"/>
          </w:r>
          <w:r w:rsidRPr="00A64F27">
            <w:rPr>
              <w:rFonts w:ascii="Arial" w:hAnsi="Arial" w:cs="Arial"/>
              <w:color w:val="auto"/>
              <w:szCs w:val="24"/>
            </w:rPr>
            <w:instrText xml:space="preserve"> TOC \o "1-3" \h \z \u </w:instrText>
          </w:r>
          <w:r w:rsidRPr="00A64F27">
            <w:rPr>
              <w:rFonts w:ascii="Arial" w:hAnsi="Arial" w:cs="Arial"/>
              <w:color w:val="auto"/>
              <w:szCs w:val="24"/>
            </w:rPr>
            <w:fldChar w:fldCharType="separate"/>
          </w:r>
          <w:hyperlink w:anchor="_Toc31119904" w:history="1">
            <w:r w:rsidRPr="00A64F27">
              <w:rPr>
                <w:rStyle w:val="Hipervnculo"/>
                <w:rFonts w:ascii="Arial" w:hAnsi="Arial" w:cs="Arial"/>
                <w:noProof/>
                <w:color w:val="auto"/>
                <w:szCs w:val="24"/>
              </w:rPr>
              <w:t>1.</w:t>
            </w:r>
            <w:r w:rsidRPr="00A64F27">
              <w:rPr>
                <w:rFonts w:ascii="Arial" w:hAnsi="Arial" w:cs="Arial"/>
                <w:noProof/>
                <w:color w:val="auto"/>
                <w:szCs w:val="24"/>
                <w:lang w:val="es-MX" w:eastAsia="es-MX"/>
              </w:rPr>
              <w:tab/>
            </w:r>
            <w:r w:rsidRPr="00A64F27">
              <w:rPr>
                <w:rStyle w:val="Hipervnculo"/>
                <w:rFonts w:ascii="Arial" w:hAnsi="Arial" w:cs="Arial"/>
                <w:noProof/>
                <w:color w:val="auto"/>
                <w:szCs w:val="24"/>
              </w:rPr>
              <w:t>TESIS AISLADAS EN MATERIA FAMILIAR</w:t>
            </w:r>
            <w:r w:rsidRPr="00A64F27">
              <w:rPr>
                <w:rFonts w:ascii="Arial" w:hAnsi="Arial" w:cs="Arial"/>
                <w:noProof/>
                <w:webHidden/>
                <w:color w:val="auto"/>
                <w:szCs w:val="24"/>
              </w:rPr>
              <w:tab/>
            </w:r>
            <w:r w:rsidRPr="00A64F27">
              <w:rPr>
                <w:rFonts w:ascii="Arial" w:hAnsi="Arial" w:cs="Arial"/>
                <w:noProof/>
                <w:webHidden/>
                <w:color w:val="auto"/>
                <w:szCs w:val="24"/>
              </w:rPr>
              <w:fldChar w:fldCharType="begin"/>
            </w:r>
            <w:r w:rsidRPr="00A64F27">
              <w:rPr>
                <w:rFonts w:ascii="Arial" w:hAnsi="Arial" w:cs="Arial"/>
                <w:noProof/>
                <w:webHidden/>
                <w:color w:val="auto"/>
                <w:szCs w:val="24"/>
              </w:rPr>
              <w:instrText xml:space="preserve"> PAGEREF _Toc31119904 \h </w:instrText>
            </w:r>
            <w:r w:rsidRPr="00A64F27">
              <w:rPr>
                <w:rFonts w:ascii="Arial" w:hAnsi="Arial" w:cs="Arial"/>
                <w:noProof/>
                <w:webHidden/>
                <w:color w:val="auto"/>
                <w:szCs w:val="24"/>
              </w:rPr>
            </w:r>
            <w:r w:rsidRPr="00A64F27">
              <w:rPr>
                <w:rFonts w:ascii="Arial" w:hAnsi="Arial" w:cs="Arial"/>
                <w:noProof/>
                <w:webHidden/>
                <w:color w:val="auto"/>
                <w:szCs w:val="24"/>
              </w:rPr>
              <w:fldChar w:fldCharType="separate"/>
            </w:r>
            <w:r w:rsidRPr="00A64F27">
              <w:rPr>
                <w:rFonts w:ascii="Arial" w:hAnsi="Arial" w:cs="Arial"/>
                <w:noProof/>
                <w:webHidden/>
                <w:color w:val="auto"/>
                <w:szCs w:val="24"/>
              </w:rPr>
              <w:t>2</w:t>
            </w:r>
            <w:r w:rsidRPr="00A64F27">
              <w:rPr>
                <w:rFonts w:ascii="Arial" w:hAnsi="Arial" w:cs="Arial"/>
                <w:noProof/>
                <w:webHidden/>
                <w:color w:val="auto"/>
                <w:szCs w:val="24"/>
              </w:rPr>
              <w:fldChar w:fldCharType="end"/>
            </w:r>
          </w:hyperlink>
        </w:p>
        <w:p w:rsidR="00A64F27" w:rsidRPr="00A64F27" w:rsidRDefault="00A64F27" w:rsidP="00A64F27">
          <w:pPr>
            <w:pStyle w:val="TDC2"/>
            <w:tabs>
              <w:tab w:val="left" w:pos="880"/>
              <w:tab w:val="right" w:leader="dot" w:pos="8494"/>
            </w:tabs>
            <w:jc w:val="both"/>
            <w:rPr>
              <w:rFonts w:ascii="Arial" w:eastAsiaTheme="minorEastAsia" w:hAnsi="Arial" w:cs="Arial"/>
              <w:noProof/>
              <w:sz w:val="24"/>
              <w:szCs w:val="24"/>
              <w:lang w:eastAsia="es-MX"/>
            </w:rPr>
          </w:pPr>
          <w:hyperlink w:anchor="_Toc31119905" w:history="1">
            <w:r w:rsidRPr="00A64F27">
              <w:rPr>
                <w:rStyle w:val="Hipervnculo"/>
                <w:rFonts w:ascii="Arial" w:hAnsi="Arial" w:cs="Arial"/>
                <w:noProof/>
                <w:color w:val="auto"/>
                <w:sz w:val="24"/>
                <w:szCs w:val="24"/>
              </w:rPr>
              <w:t>1.1</w:t>
            </w:r>
            <w:r w:rsidRPr="00A64F27">
              <w:rPr>
                <w:rFonts w:ascii="Arial" w:eastAsiaTheme="minorEastAsia" w:hAnsi="Arial" w:cs="Arial"/>
                <w:noProof/>
                <w:sz w:val="24"/>
                <w:szCs w:val="24"/>
                <w:lang w:eastAsia="es-MX"/>
              </w:rPr>
              <w:tab/>
            </w:r>
            <w:r w:rsidRPr="00A64F27">
              <w:rPr>
                <w:rStyle w:val="Hipervnculo"/>
                <w:rFonts w:ascii="Arial" w:hAnsi="Arial" w:cs="Arial"/>
                <w:noProof/>
                <w:color w:val="auto"/>
                <w:sz w:val="24"/>
                <w:szCs w:val="24"/>
              </w:rPr>
              <w:t>PENSIÓN COMPENSATORIA. SU ANÁLISIS DEBE CIRCUNSCRIBIRSE AL MOMENTO EN EL CUAL SE DECRETÓ EL DIVORCIO, AUN CUANDO SE DEMANDE SU PAGO EN JUICIO AUTÓNOMO.</w:t>
            </w:r>
            <w:r w:rsidRPr="00A64F27">
              <w:rPr>
                <w:rFonts w:ascii="Arial" w:hAnsi="Arial" w:cs="Arial"/>
                <w:noProof/>
                <w:webHidden/>
                <w:sz w:val="24"/>
                <w:szCs w:val="24"/>
              </w:rPr>
              <w:tab/>
            </w:r>
            <w:r w:rsidRPr="00A64F27">
              <w:rPr>
                <w:rFonts w:ascii="Arial" w:hAnsi="Arial" w:cs="Arial"/>
                <w:noProof/>
                <w:webHidden/>
                <w:sz w:val="24"/>
                <w:szCs w:val="24"/>
              </w:rPr>
              <w:fldChar w:fldCharType="begin"/>
            </w:r>
            <w:r w:rsidRPr="00A64F27">
              <w:rPr>
                <w:rFonts w:ascii="Arial" w:hAnsi="Arial" w:cs="Arial"/>
                <w:noProof/>
                <w:webHidden/>
                <w:sz w:val="24"/>
                <w:szCs w:val="24"/>
              </w:rPr>
              <w:instrText xml:space="preserve"> PAGEREF _Toc31119905 \h </w:instrText>
            </w:r>
            <w:r w:rsidRPr="00A64F27">
              <w:rPr>
                <w:rFonts w:ascii="Arial" w:hAnsi="Arial" w:cs="Arial"/>
                <w:noProof/>
                <w:webHidden/>
                <w:sz w:val="24"/>
                <w:szCs w:val="24"/>
              </w:rPr>
            </w:r>
            <w:r w:rsidRPr="00A64F27">
              <w:rPr>
                <w:rFonts w:ascii="Arial" w:hAnsi="Arial" w:cs="Arial"/>
                <w:noProof/>
                <w:webHidden/>
                <w:sz w:val="24"/>
                <w:szCs w:val="24"/>
              </w:rPr>
              <w:fldChar w:fldCharType="separate"/>
            </w:r>
            <w:r w:rsidRPr="00A64F27">
              <w:rPr>
                <w:rFonts w:ascii="Arial" w:hAnsi="Arial" w:cs="Arial"/>
                <w:noProof/>
                <w:webHidden/>
                <w:sz w:val="24"/>
                <w:szCs w:val="24"/>
              </w:rPr>
              <w:t>2</w:t>
            </w:r>
            <w:r w:rsidRPr="00A64F27">
              <w:rPr>
                <w:rFonts w:ascii="Arial" w:hAnsi="Arial" w:cs="Arial"/>
                <w:noProof/>
                <w:webHidden/>
                <w:sz w:val="24"/>
                <w:szCs w:val="24"/>
              </w:rPr>
              <w:fldChar w:fldCharType="end"/>
            </w:r>
          </w:hyperlink>
        </w:p>
        <w:p w:rsidR="00A64F27" w:rsidRPr="00A64F27" w:rsidRDefault="00A64F27" w:rsidP="00A64F27">
          <w:pPr>
            <w:pStyle w:val="TDC2"/>
            <w:tabs>
              <w:tab w:val="left" w:pos="880"/>
              <w:tab w:val="right" w:leader="dot" w:pos="8494"/>
            </w:tabs>
            <w:jc w:val="both"/>
            <w:rPr>
              <w:rFonts w:ascii="Arial" w:eastAsiaTheme="minorEastAsia" w:hAnsi="Arial" w:cs="Arial"/>
              <w:noProof/>
              <w:sz w:val="24"/>
              <w:szCs w:val="24"/>
              <w:lang w:eastAsia="es-MX"/>
            </w:rPr>
          </w:pPr>
          <w:hyperlink w:anchor="_Toc31119906" w:history="1">
            <w:r w:rsidRPr="00A64F27">
              <w:rPr>
                <w:rStyle w:val="Hipervnculo"/>
                <w:rFonts w:ascii="Arial" w:hAnsi="Arial" w:cs="Arial"/>
                <w:noProof/>
                <w:color w:val="auto"/>
                <w:sz w:val="24"/>
                <w:szCs w:val="24"/>
              </w:rPr>
              <w:t>1.2</w:t>
            </w:r>
            <w:r w:rsidRPr="00A64F27">
              <w:rPr>
                <w:rFonts w:ascii="Arial" w:eastAsiaTheme="minorEastAsia" w:hAnsi="Arial" w:cs="Arial"/>
                <w:noProof/>
                <w:sz w:val="24"/>
                <w:szCs w:val="24"/>
                <w:lang w:eastAsia="es-MX"/>
              </w:rPr>
              <w:tab/>
            </w:r>
            <w:r w:rsidRPr="00A64F27">
              <w:rPr>
                <w:rStyle w:val="Hipervnculo"/>
                <w:rFonts w:ascii="Arial" w:hAnsi="Arial" w:cs="Arial"/>
                <w:noProof/>
                <w:color w:val="auto"/>
                <w:sz w:val="24"/>
                <w:szCs w:val="24"/>
              </w:rPr>
              <w:t>PENSIÓN COMPENSATORIA. PROCEDE DEMANDARLA EN JUICIO AUTÓNOMO AL DE DIVORCIO CUANDO NO EXISTE COSA JUZGADA.</w:t>
            </w:r>
            <w:r w:rsidRPr="00A64F27">
              <w:rPr>
                <w:rFonts w:ascii="Arial" w:hAnsi="Arial" w:cs="Arial"/>
                <w:noProof/>
                <w:webHidden/>
                <w:sz w:val="24"/>
                <w:szCs w:val="24"/>
              </w:rPr>
              <w:tab/>
            </w:r>
            <w:r w:rsidRPr="00A64F27">
              <w:rPr>
                <w:rFonts w:ascii="Arial" w:hAnsi="Arial" w:cs="Arial"/>
                <w:noProof/>
                <w:webHidden/>
                <w:sz w:val="24"/>
                <w:szCs w:val="24"/>
              </w:rPr>
              <w:fldChar w:fldCharType="begin"/>
            </w:r>
            <w:r w:rsidRPr="00A64F27">
              <w:rPr>
                <w:rFonts w:ascii="Arial" w:hAnsi="Arial" w:cs="Arial"/>
                <w:noProof/>
                <w:webHidden/>
                <w:sz w:val="24"/>
                <w:szCs w:val="24"/>
              </w:rPr>
              <w:instrText xml:space="preserve"> PAGEREF _Toc31119906 \h </w:instrText>
            </w:r>
            <w:r w:rsidRPr="00A64F27">
              <w:rPr>
                <w:rFonts w:ascii="Arial" w:hAnsi="Arial" w:cs="Arial"/>
                <w:noProof/>
                <w:webHidden/>
                <w:sz w:val="24"/>
                <w:szCs w:val="24"/>
              </w:rPr>
            </w:r>
            <w:r w:rsidRPr="00A64F27">
              <w:rPr>
                <w:rFonts w:ascii="Arial" w:hAnsi="Arial" w:cs="Arial"/>
                <w:noProof/>
                <w:webHidden/>
                <w:sz w:val="24"/>
                <w:szCs w:val="24"/>
              </w:rPr>
              <w:fldChar w:fldCharType="separate"/>
            </w:r>
            <w:r w:rsidRPr="00A64F27">
              <w:rPr>
                <w:rFonts w:ascii="Arial" w:hAnsi="Arial" w:cs="Arial"/>
                <w:noProof/>
                <w:webHidden/>
                <w:sz w:val="24"/>
                <w:szCs w:val="24"/>
              </w:rPr>
              <w:t>3</w:t>
            </w:r>
            <w:r w:rsidRPr="00A64F27">
              <w:rPr>
                <w:rFonts w:ascii="Arial" w:hAnsi="Arial" w:cs="Arial"/>
                <w:noProof/>
                <w:webHidden/>
                <w:sz w:val="24"/>
                <w:szCs w:val="24"/>
              </w:rPr>
              <w:fldChar w:fldCharType="end"/>
            </w:r>
          </w:hyperlink>
        </w:p>
        <w:p w:rsidR="00A64F27" w:rsidRPr="00A64F27" w:rsidRDefault="00A64F27" w:rsidP="00A64F27">
          <w:pPr>
            <w:pStyle w:val="TDC2"/>
            <w:tabs>
              <w:tab w:val="left" w:pos="880"/>
              <w:tab w:val="right" w:leader="dot" w:pos="8494"/>
            </w:tabs>
            <w:jc w:val="both"/>
            <w:rPr>
              <w:rFonts w:ascii="Arial" w:eastAsiaTheme="minorEastAsia" w:hAnsi="Arial" w:cs="Arial"/>
              <w:noProof/>
              <w:sz w:val="24"/>
              <w:szCs w:val="24"/>
              <w:lang w:eastAsia="es-MX"/>
            </w:rPr>
          </w:pPr>
          <w:hyperlink w:anchor="_Toc31119907" w:history="1">
            <w:r w:rsidRPr="00A64F27">
              <w:rPr>
                <w:rStyle w:val="Hipervnculo"/>
                <w:rFonts w:ascii="Arial" w:hAnsi="Arial" w:cs="Arial"/>
                <w:noProof/>
                <w:color w:val="auto"/>
                <w:sz w:val="24"/>
                <w:szCs w:val="24"/>
              </w:rPr>
              <w:t>1.3</w:t>
            </w:r>
            <w:r w:rsidRPr="00A64F27">
              <w:rPr>
                <w:rFonts w:ascii="Arial" w:eastAsiaTheme="minorEastAsia" w:hAnsi="Arial" w:cs="Arial"/>
                <w:noProof/>
                <w:sz w:val="24"/>
                <w:szCs w:val="24"/>
                <w:lang w:eastAsia="es-MX"/>
              </w:rPr>
              <w:tab/>
            </w:r>
            <w:r w:rsidRPr="00A64F27">
              <w:rPr>
                <w:rStyle w:val="Hipervnculo"/>
                <w:rFonts w:ascii="Arial" w:hAnsi="Arial" w:cs="Arial"/>
                <w:noProof/>
                <w:color w:val="auto"/>
                <w:sz w:val="24"/>
                <w:szCs w:val="24"/>
              </w:rPr>
              <w:t>INTERÉS SUPERIOR DEL MENOR. DICHO PRINCIPIO NO PUEDE SERVIR DE MEDIDA IDÓNEA PARA RESTRINGIR A LA MADRE LA GUARDA Y CUSTODIA, POR DEDICARSE COMO FORMA DE TRABAJO A LA PROSTITUCIÓN.</w:t>
            </w:r>
            <w:r w:rsidRPr="00A64F27">
              <w:rPr>
                <w:rFonts w:ascii="Arial" w:hAnsi="Arial" w:cs="Arial"/>
                <w:noProof/>
                <w:webHidden/>
                <w:sz w:val="24"/>
                <w:szCs w:val="24"/>
              </w:rPr>
              <w:tab/>
            </w:r>
            <w:r w:rsidRPr="00A64F27">
              <w:rPr>
                <w:rFonts w:ascii="Arial" w:hAnsi="Arial" w:cs="Arial"/>
                <w:noProof/>
                <w:webHidden/>
                <w:sz w:val="24"/>
                <w:szCs w:val="24"/>
              </w:rPr>
              <w:fldChar w:fldCharType="begin"/>
            </w:r>
            <w:r w:rsidRPr="00A64F27">
              <w:rPr>
                <w:rFonts w:ascii="Arial" w:hAnsi="Arial" w:cs="Arial"/>
                <w:noProof/>
                <w:webHidden/>
                <w:sz w:val="24"/>
                <w:szCs w:val="24"/>
              </w:rPr>
              <w:instrText xml:space="preserve"> PAGEREF _Toc31119907 \h </w:instrText>
            </w:r>
            <w:r w:rsidRPr="00A64F27">
              <w:rPr>
                <w:rFonts w:ascii="Arial" w:hAnsi="Arial" w:cs="Arial"/>
                <w:noProof/>
                <w:webHidden/>
                <w:sz w:val="24"/>
                <w:szCs w:val="24"/>
              </w:rPr>
            </w:r>
            <w:r w:rsidRPr="00A64F27">
              <w:rPr>
                <w:rFonts w:ascii="Arial" w:hAnsi="Arial" w:cs="Arial"/>
                <w:noProof/>
                <w:webHidden/>
                <w:sz w:val="24"/>
                <w:szCs w:val="24"/>
              </w:rPr>
              <w:fldChar w:fldCharType="separate"/>
            </w:r>
            <w:r w:rsidRPr="00A64F27">
              <w:rPr>
                <w:rFonts w:ascii="Arial" w:hAnsi="Arial" w:cs="Arial"/>
                <w:noProof/>
                <w:webHidden/>
                <w:sz w:val="24"/>
                <w:szCs w:val="24"/>
              </w:rPr>
              <w:t>4</w:t>
            </w:r>
            <w:r w:rsidRPr="00A64F27">
              <w:rPr>
                <w:rFonts w:ascii="Arial" w:hAnsi="Arial" w:cs="Arial"/>
                <w:noProof/>
                <w:webHidden/>
                <w:sz w:val="24"/>
                <w:szCs w:val="24"/>
              </w:rPr>
              <w:fldChar w:fldCharType="end"/>
            </w:r>
          </w:hyperlink>
        </w:p>
        <w:p w:rsidR="00A64F27" w:rsidRPr="00A64F27" w:rsidRDefault="00A64F27" w:rsidP="00A64F27">
          <w:pPr>
            <w:pStyle w:val="TDC2"/>
            <w:tabs>
              <w:tab w:val="left" w:pos="880"/>
              <w:tab w:val="right" w:leader="dot" w:pos="8494"/>
            </w:tabs>
            <w:jc w:val="both"/>
            <w:rPr>
              <w:rFonts w:ascii="Arial" w:eastAsiaTheme="minorEastAsia" w:hAnsi="Arial" w:cs="Arial"/>
              <w:noProof/>
              <w:sz w:val="24"/>
              <w:szCs w:val="24"/>
              <w:lang w:eastAsia="es-MX"/>
            </w:rPr>
          </w:pPr>
          <w:hyperlink w:anchor="_Toc31119908" w:history="1">
            <w:r w:rsidRPr="00A64F27">
              <w:rPr>
                <w:rStyle w:val="Hipervnculo"/>
                <w:rFonts w:ascii="Arial" w:hAnsi="Arial" w:cs="Arial"/>
                <w:noProof/>
                <w:color w:val="auto"/>
                <w:sz w:val="24"/>
                <w:szCs w:val="24"/>
              </w:rPr>
              <w:t>1.4</w:t>
            </w:r>
            <w:r w:rsidRPr="00A64F27">
              <w:rPr>
                <w:rFonts w:ascii="Arial" w:eastAsiaTheme="minorEastAsia" w:hAnsi="Arial" w:cs="Arial"/>
                <w:noProof/>
                <w:sz w:val="24"/>
                <w:szCs w:val="24"/>
                <w:lang w:eastAsia="es-MX"/>
              </w:rPr>
              <w:tab/>
            </w:r>
            <w:r w:rsidRPr="00A64F27">
              <w:rPr>
                <w:rStyle w:val="Hipervnculo"/>
                <w:rFonts w:ascii="Arial" w:hAnsi="Arial" w:cs="Arial"/>
                <w:noProof/>
                <w:color w:val="auto"/>
                <w:sz w:val="24"/>
                <w:szCs w:val="24"/>
              </w:rPr>
              <w:t>GUARDA Y CUSTODIA DE UN MENOR DE EDAD. SU OTORGAMIENTO SE BASA EN LA IDONEIDAD DEL PROGENITOR, SIENDO IRRELEVANTE EL TRABAJO QUE ÉSTE DESEMPEÑE.</w:t>
            </w:r>
            <w:r w:rsidRPr="00A64F27">
              <w:rPr>
                <w:rFonts w:ascii="Arial" w:hAnsi="Arial" w:cs="Arial"/>
                <w:noProof/>
                <w:webHidden/>
                <w:sz w:val="24"/>
                <w:szCs w:val="24"/>
              </w:rPr>
              <w:tab/>
            </w:r>
            <w:r w:rsidRPr="00A64F27">
              <w:rPr>
                <w:rFonts w:ascii="Arial" w:hAnsi="Arial" w:cs="Arial"/>
                <w:noProof/>
                <w:webHidden/>
                <w:sz w:val="24"/>
                <w:szCs w:val="24"/>
              </w:rPr>
              <w:fldChar w:fldCharType="begin"/>
            </w:r>
            <w:r w:rsidRPr="00A64F27">
              <w:rPr>
                <w:rFonts w:ascii="Arial" w:hAnsi="Arial" w:cs="Arial"/>
                <w:noProof/>
                <w:webHidden/>
                <w:sz w:val="24"/>
                <w:szCs w:val="24"/>
              </w:rPr>
              <w:instrText xml:space="preserve"> PAGEREF _Toc31119908 \h </w:instrText>
            </w:r>
            <w:r w:rsidRPr="00A64F27">
              <w:rPr>
                <w:rFonts w:ascii="Arial" w:hAnsi="Arial" w:cs="Arial"/>
                <w:noProof/>
                <w:webHidden/>
                <w:sz w:val="24"/>
                <w:szCs w:val="24"/>
              </w:rPr>
            </w:r>
            <w:r w:rsidRPr="00A64F27">
              <w:rPr>
                <w:rFonts w:ascii="Arial" w:hAnsi="Arial" w:cs="Arial"/>
                <w:noProof/>
                <w:webHidden/>
                <w:sz w:val="24"/>
                <w:szCs w:val="24"/>
              </w:rPr>
              <w:fldChar w:fldCharType="separate"/>
            </w:r>
            <w:r w:rsidRPr="00A64F27">
              <w:rPr>
                <w:rFonts w:ascii="Arial" w:hAnsi="Arial" w:cs="Arial"/>
                <w:noProof/>
                <w:webHidden/>
                <w:sz w:val="24"/>
                <w:szCs w:val="24"/>
              </w:rPr>
              <w:t>5</w:t>
            </w:r>
            <w:r w:rsidRPr="00A64F27">
              <w:rPr>
                <w:rFonts w:ascii="Arial" w:hAnsi="Arial" w:cs="Arial"/>
                <w:noProof/>
                <w:webHidden/>
                <w:sz w:val="24"/>
                <w:szCs w:val="24"/>
              </w:rPr>
              <w:fldChar w:fldCharType="end"/>
            </w:r>
          </w:hyperlink>
        </w:p>
        <w:p w:rsidR="00A64F27" w:rsidRPr="00A64F27" w:rsidRDefault="00A64F27" w:rsidP="00A64F27">
          <w:pPr>
            <w:pStyle w:val="TDC2"/>
            <w:tabs>
              <w:tab w:val="left" w:pos="880"/>
              <w:tab w:val="right" w:leader="dot" w:pos="8494"/>
            </w:tabs>
            <w:jc w:val="both"/>
            <w:rPr>
              <w:rFonts w:ascii="Arial" w:eastAsiaTheme="minorEastAsia" w:hAnsi="Arial" w:cs="Arial"/>
              <w:noProof/>
              <w:sz w:val="24"/>
              <w:szCs w:val="24"/>
              <w:lang w:eastAsia="es-MX"/>
            </w:rPr>
          </w:pPr>
          <w:hyperlink w:anchor="_Toc31119909" w:history="1">
            <w:r w:rsidRPr="00A64F27">
              <w:rPr>
                <w:rStyle w:val="Hipervnculo"/>
                <w:rFonts w:ascii="Arial" w:hAnsi="Arial" w:cs="Arial"/>
                <w:noProof/>
                <w:color w:val="auto"/>
                <w:sz w:val="24"/>
                <w:szCs w:val="24"/>
              </w:rPr>
              <w:t>1.5</w:t>
            </w:r>
            <w:r w:rsidRPr="00A64F27">
              <w:rPr>
                <w:rFonts w:ascii="Arial" w:eastAsiaTheme="minorEastAsia" w:hAnsi="Arial" w:cs="Arial"/>
                <w:noProof/>
                <w:sz w:val="24"/>
                <w:szCs w:val="24"/>
                <w:lang w:eastAsia="es-MX"/>
              </w:rPr>
              <w:tab/>
            </w:r>
            <w:r w:rsidRPr="00A64F27">
              <w:rPr>
                <w:rStyle w:val="Hipervnculo"/>
                <w:rFonts w:ascii="Arial" w:hAnsi="Arial" w:cs="Arial"/>
                <w:noProof/>
                <w:color w:val="auto"/>
                <w:sz w:val="24"/>
                <w:szCs w:val="24"/>
              </w:rPr>
              <w:t>GUARDA Y CUSTODIA DE UN MENOR DE EDAD. LA EXCLUSIÓN DE UNO DE LOS PROGENITORES PARA EJERCERLA, POR EL SOLO HECHO DE DEDICARSE A UN TRABAJO SEXUAL, VIOLA LOS PRINCIPIOS DE IGUALDAD Y NO DISCRIMINACIÓN.</w:t>
            </w:r>
            <w:r w:rsidRPr="00A64F27">
              <w:rPr>
                <w:rFonts w:ascii="Arial" w:hAnsi="Arial" w:cs="Arial"/>
                <w:noProof/>
                <w:webHidden/>
                <w:sz w:val="24"/>
                <w:szCs w:val="24"/>
              </w:rPr>
              <w:tab/>
            </w:r>
            <w:r w:rsidRPr="00A64F27">
              <w:rPr>
                <w:rFonts w:ascii="Arial" w:hAnsi="Arial" w:cs="Arial"/>
                <w:noProof/>
                <w:webHidden/>
                <w:sz w:val="24"/>
                <w:szCs w:val="24"/>
              </w:rPr>
              <w:fldChar w:fldCharType="begin"/>
            </w:r>
            <w:r w:rsidRPr="00A64F27">
              <w:rPr>
                <w:rFonts w:ascii="Arial" w:hAnsi="Arial" w:cs="Arial"/>
                <w:noProof/>
                <w:webHidden/>
                <w:sz w:val="24"/>
                <w:szCs w:val="24"/>
              </w:rPr>
              <w:instrText xml:space="preserve"> PAGEREF _Toc31119909 \h </w:instrText>
            </w:r>
            <w:r w:rsidRPr="00A64F27">
              <w:rPr>
                <w:rFonts w:ascii="Arial" w:hAnsi="Arial" w:cs="Arial"/>
                <w:noProof/>
                <w:webHidden/>
                <w:sz w:val="24"/>
                <w:szCs w:val="24"/>
              </w:rPr>
            </w:r>
            <w:r w:rsidRPr="00A64F27">
              <w:rPr>
                <w:rFonts w:ascii="Arial" w:hAnsi="Arial" w:cs="Arial"/>
                <w:noProof/>
                <w:webHidden/>
                <w:sz w:val="24"/>
                <w:szCs w:val="24"/>
              </w:rPr>
              <w:fldChar w:fldCharType="separate"/>
            </w:r>
            <w:r w:rsidRPr="00A64F27">
              <w:rPr>
                <w:rFonts w:ascii="Arial" w:hAnsi="Arial" w:cs="Arial"/>
                <w:noProof/>
                <w:webHidden/>
                <w:sz w:val="24"/>
                <w:szCs w:val="24"/>
              </w:rPr>
              <w:t>7</w:t>
            </w:r>
            <w:r w:rsidRPr="00A64F27">
              <w:rPr>
                <w:rFonts w:ascii="Arial" w:hAnsi="Arial" w:cs="Arial"/>
                <w:noProof/>
                <w:webHidden/>
                <w:sz w:val="24"/>
                <w:szCs w:val="24"/>
              </w:rPr>
              <w:fldChar w:fldCharType="end"/>
            </w:r>
          </w:hyperlink>
        </w:p>
        <w:p w:rsidR="00A64F27" w:rsidRPr="00A64F27" w:rsidRDefault="00A64F27" w:rsidP="00A64F27">
          <w:pPr>
            <w:pStyle w:val="TDC2"/>
            <w:tabs>
              <w:tab w:val="left" w:pos="880"/>
              <w:tab w:val="right" w:leader="dot" w:pos="8494"/>
            </w:tabs>
            <w:jc w:val="both"/>
            <w:rPr>
              <w:rFonts w:ascii="Arial" w:eastAsiaTheme="minorEastAsia" w:hAnsi="Arial" w:cs="Arial"/>
              <w:noProof/>
              <w:sz w:val="24"/>
              <w:szCs w:val="24"/>
              <w:lang w:eastAsia="es-MX"/>
            </w:rPr>
          </w:pPr>
          <w:hyperlink w:anchor="_Toc31119910" w:history="1">
            <w:r w:rsidRPr="00A64F27">
              <w:rPr>
                <w:rStyle w:val="Hipervnculo"/>
                <w:rFonts w:ascii="Arial" w:hAnsi="Arial" w:cs="Arial"/>
                <w:noProof/>
                <w:color w:val="auto"/>
                <w:sz w:val="24"/>
                <w:szCs w:val="24"/>
              </w:rPr>
              <w:t>1.6</w:t>
            </w:r>
            <w:r w:rsidRPr="00A64F27">
              <w:rPr>
                <w:rFonts w:ascii="Arial" w:eastAsiaTheme="minorEastAsia" w:hAnsi="Arial" w:cs="Arial"/>
                <w:noProof/>
                <w:sz w:val="24"/>
                <w:szCs w:val="24"/>
                <w:lang w:eastAsia="es-MX"/>
              </w:rPr>
              <w:tab/>
            </w:r>
            <w:r w:rsidRPr="00A64F27">
              <w:rPr>
                <w:rStyle w:val="Hipervnculo"/>
                <w:rFonts w:ascii="Arial" w:hAnsi="Arial" w:cs="Arial"/>
                <w:noProof/>
                <w:color w:val="auto"/>
                <w:sz w:val="24"/>
                <w:szCs w:val="24"/>
              </w:rPr>
              <w:t>GUARDA Y CUSTODIA DE UN MENOR DE EDAD. ES INADMISIBLE OTORGARLA POR LA POSIBLE DISCRIMINACIÓN QUE PUEDA SUFRIR ÉSTE POR LA ACTIVIDAD LABORAL DE SU MADRE.</w:t>
            </w:r>
            <w:r w:rsidRPr="00A64F27">
              <w:rPr>
                <w:rFonts w:ascii="Arial" w:hAnsi="Arial" w:cs="Arial"/>
                <w:noProof/>
                <w:webHidden/>
                <w:sz w:val="24"/>
                <w:szCs w:val="24"/>
              </w:rPr>
              <w:tab/>
            </w:r>
            <w:r w:rsidRPr="00A64F27">
              <w:rPr>
                <w:rFonts w:ascii="Arial" w:hAnsi="Arial" w:cs="Arial"/>
                <w:noProof/>
                <w:webHidden/>
                <w:sz w:val="24"/>
                <w:szCs w:val="24"/>
              </w:rPr>
              <w:fldChar w:fldCharType="begin"/>
            </w:r>
            <w:r w:rsidRPr="00A64F27">
              <w:rPr>
                <w:rFonts w:ascii="Arial" w:hAnsi="Arial" w:cs="Arial"/>
                <w:noProof/>
                <w:webHidden/>
                <w:sz w:val="24"/>
                <w:szCs w:val="24"/>
              </w:rPr>
              <w:instrText xml:space="preserve"> PAGEREF _Toc31119910 \h </w:instrText>
            </w:r>
            <w:r w:rsidRPr="00A64F27">
              <w:rPr>
                <w:rFonts w:ascii="Arial" w:hAnsi="Arial" w:cs="Arial"/>
                <w:noProof/>
                <w:webHidden/>
                <w:sz w:val="24"/>
                <w:szCs w:val="24"/>
              </w:rPr>
            </w:r>
            <w:r w:rsidRPr="00A64F27">
              <w:rPr>
                <w:rFonts w:ascii="Arial" w:hAnsi="Arial" w:cs="Arial"/>
                <w:noProof/>
                <w:webHidden/>
                <w:sz w:val="24"/>
                <w:szCs w:val="24"/>
              </w:rPr>
              <w:fldChar w:fldCharType="separate"/>
            </w:r>
            <w:r w:rsidRPr="00A64F27">
              <w:rPr>
                <w:rFonts w:ascii="Arial" w:hAnsi="Arial" w:cs="Arial"/>
                <w:noProof/>
                <w:webHidden/>
                <w:sz w:val="24"/>
                <w:szCs w:val="24"/>
              </w:rPr>
              <w:t>7</w:t>
            </w:r>
            <w:r w:rsidRPr="00A64F27">
              <w:rPr>
                <w:rFonts w:ascii="Arial" w:hAnsi="Arial" w:cs="Arial"/>
                <w:noProof/>
                <w:webHidden/>
                <w:sz w:val="24"/>
                <w:szCs w:val="24"/>
              </w:rPr>
              <w:fldChar w:fldCharType="end"/>
            </w:r>
          </w:hyperlink>
        </w:p>
        <w:p w:rsidR="00A64F27" w:rsidRPr="00A64F27" w:rsidRDefault="00A64F27" w:rsidP="00A64F27">
          <w:pPr>
            <w:pStyle w:val="TDC2"/>
            <w:tabs>
              <w:tab w:val="left" w:pos="880"/>
              <w:tab w:val="right" w:leader="dot" w:pos="8494"/>
            </w:tabs>
            <w:jc w:val="both"/>
            <w:rPr>
              <w:rFonts w:ascii="Arial" w:eastAsiaTheme="minorEastAsia" w:hAnsi="Arial" w:cs="Arial"/>
              <w:noProof/>
              <w:sz w:val="24"/>
              <w:szCs w:val="24"/>
              <w:lang w:eastAsia="es-MX"/>
            </w:rPr>
          </w:pPr>
          <w:hyperlink w:anchor="_Toc31119911" w:history="1">
            <w:r w:rsidRPr="00A64F27">
              <w:rPr>
                <w:rStyle w:val="Hipervnculo"/>
                <w:rFonts w:ascii="Arial" w:hAnsi="Arial" w:cs="Arial"/>
                <w:noProof/>
                <w:color w:val="auto"/>
                <w:sz w:val="24"/>
                <w:szCs w:val="24"/>
              </w:rPr>
              <w:t>1.7</w:t>
            </w:r>
            <w:r w:rsidRPr="00A64F27">
              <w:rPr>
                <w:rFonts w:ascii="Arial" w:eastAsiaTheme="minorEastAsia" w:hAnsi="Arial" w:cs="Arial"/>
                <w:noProof/>
                <w:sz w:val="24"/>
                <w:szCs w:val="24"/>
                <w:lang w:eastAsia="es-MX"/>
              </w:rPr>
              <w:tab/>
            </w:r>
            <w:r w:rsidRPr="00A64F27">
              <w:rPr>
                <w:rStyle w:val="Hipervnculo"/>
                <w:rFonts w:ascii="Arial" w:hAnsi="Arial" w:cs="Arial"/>
                <w:noProof/>
                <w:color w:val="auto"/>
                <w:sz w:val="24"/>
                <w:szCs w:val="24"/>
              </w:rPr>
              <w:t>COHABITACIÓN EN UNA RELACIÓN DE PAREJA. PUEDE CONFIGURAR UNA PRESUNCIÓN HUMANA DE QUE SE TRATA DE UNA UNIÓN DE HECHO SUSCEPTIBLE DE GENERAR DERECHOS Y OBLIGACIONES ENTRE LAS PARTES (OTORGAR ALIMENTOS) Y MÁS AÚN SI SE PROCREARON HIJOS EN COMÚN, NO OBSTANTE SU ESTADO CIVIL.</w:t>
            </w:r>
            <w:r w:rsidRPr="00A64F27">
              <w:rPr>
                <w:rFonts w:ascii="Arial" w:hAnsi="Arial" w:cs="Arial"/>
                <w:noProof/>
                <w:webHidden/>
                <w:sz w:val="24"/>
                <w:szCs w:val="24"/>
              </w:rPr>
              <w:tab/>
            </w:r>
            <w:r w:rsidRPr="00A64F27">
              <w:rPr>
                <w:rFonts w:ascii="Arial" w:hAnsi="Arial" w:cs="Arial"/>
                <w:noProof/>
                <w:webHidden/>
                <w:sz w:val="24"/>
                <w:szCs w:val="24"/>
              </w:rPr>
              <w:fldChar w:fldCharType="begin"/>
            </w:r>
            <w:r w:rsidRPr="00A64F27">
              <w:rPr>
                <w:rFonts w:ascii="Arial" w:hAnsi="Arial" w:cs="Arial"/>
                <w:noProof/>
                <w:webHidden/>
                <w:sz w:val="24"/>
                <w:szCs w:val="24"/>
              </w:rPr>
              <w:instrText xml:space="preserve"> PAGEREF _Toc31119911 \h </w:instrText>
            </w:r>
            <w:r w:rsidRPr="00A64F27">
              <w:rPr>
                <w:rFonts w:ascii="Arial" w:hAnsi="Arial" w:cs="Arial"/>
                <w:noProof/>
                <w:webHidden/>
                <w:sz w:val="24"/>
                <w:szCs w:val="24"/>
              </w:rPr>
            </w:r>
            <w:r w:rsidRPr="00A64F27">
              <w:rPr>
                <w:rFonts w:ascii="Arial" w:hAnsi="Arial" w:cs="Arial"/>
                <w:noProof/>
                <w:webHidden/>
                <w:sz w:val="24"/>
                <w:szCs w:val="24"/>
              </w:rPr>
              <w:fldChar w:fldCharType="separate"/>
            </w:r>
            <w:r w:rsidRPr="00A64F27">
              <w:rPr>
                <w:rFonts w:ascii="Arial" w:hAnsi="Arial" w:cs="Arial"/>
                <w:noProof/>
                <w:webHidden/>
                <w:sz w:val="24"/>
                <w:szCs w:val="24"/>
              </w:rPr>
              <w:t>9</w:t>
            </w:r>
            <w:r w:rsidRPr="00A64F27">
              <w:rPr>
                <w:rFonts w:ascii="Arial" w:hAnsi="Arial" w:cs="Arial"/>
                <w:noProof/>
                <w:webHidden/>
                <w:sz w:val="24"/>
                <w:szCs w:val="24"/>
              </w:rPr>
              <w:fldChar w:fldCharType="end"/>
            </w:r>
          </w:hyperlink>
        </w:p>
        <w:p w:rsidR="00A64F27" w:rsidRPr="00A64F27" w:rsidRDefault="00A64F27" w:rsidP="00A64F27">
          <w:pPr>
            <w:pStyle w:val="TDC1"/>
            <w:tabs>
              <w:tab w:val="left" w:pos="440"/>
              <w:tab w:val="right" w:leader="dot" w:pos="8494"/>
            </w:tabs>
            <w:jc w:val="both"/>
            <w:rPr>
              <w:rFonts w:ascii="Arial" w:hAnsi="Arial" w:cs="Arial"/>
              <w:noProof/>
              <w:color w:val="auto"/>
              <w:szCs w:val="24"/>
              <w:lang w:val="es-MX" w:eastAsia="es-MX"/>
            </w:rPr>
          </w:pPr>
          <w:hyperlink w:anchor="_Toc31119912" w:history="1">
            <w:r w:rsidRPr="00A64F27">
              <w:rPr>
                <w:rStyle w:val="Hipervnculo"/>
                <w:rFonts w:ascii="Arial" w:hAnsi="Arial" w:cs="Arial"/>
                <w:noProof/>
                <w:color w:val="auto"/>
                <w:szCs w:val="24"/>
              </w:rPr>
              <w:t>2.</w:t>
            </w:r>
            <w:r w:rsidRPr="00A64F27">
              <w:rPr>
                <w:rFonts w:ascii="Arial" w:hAnsi="Arial" w:cs="Arial"/>
                <w:noProof/>
                <w:color w:val="auto"/>
                <w:szCs w:val="24"/>
                <w:lang w:val="es-MX" w:eastAsia="es-MX"/>
              </w:rPr>
              <w:tab/>
            </w:r>
            <w:r w:rsidRPr="00A64F27">
              <w:rPr>
                <w:rStyle w:val="Hipervnculo"/>
                <w:rFonts w:ascii="Arial" w:hAnsi="Arial" w:cs="Arial"/>
                <w:noProof/>
                <w:color w:val="auto"/>
                <w:szCs w:val="24"/>
              </w:rPr>
              <w:t>FUENTES CONSULTADAS</w:t>
            </w:r>
            <w:r w:rsidRPr="00A64F27">
              <w:rPr>
                <w:rFonts w:ascii="Arial" w:hAnsi="Arial" w:cs="Arial"/>
                <w:noProof/>
                <w:webHidden/>
                <w:color w:val="auto"/>
                <w:szCs w:val="24"/>
              </w:rPr>
              <w:tab/>
            </w:r>
            <w:r w:rsidRPr="00A64F27">
              <w:rPr>
                <w:rFonts w:ascii="Arial" w:hAnsi="Arial" w:cs="Arial"/>
                <w:noProof/>
                <w:webHidden/>
                <w:color w:val="auto"/>
                <w:szCs w:val="24"/>
              </w:rPr>
              <w:fldChar w:fldCharType="begin"/>
            </w:r>
            <w:r w:rsidRPr="00A64F27">
              <w:rPr>
                <w:rFonts w:ascii="Arial" w:hAnsi="Arial" w:cs="Arial"/>
                <w:noProof/>
                <w:webHidden/>
                <w:color w:val="auto"/>
                <w:szCs w:val="24"/>
              </w:rPr>
              <w:instrText xml:space="preserve"> PAGEREF _Toc31119912 \h </w:instrText>
            </w:r>
            <w:r w:rsidRPr="00A64F27">
              <w:rPr>
                <w:rFonts w:ascii="Arial" w:hAnsi="Arial" w:cs="Arial"/>
                <w:noProof/>
                <w:webHidden/>
                <w:color w:val="auto"/>
                <w:szCs w:val="24"/>
              </w:rPr>
            </w:r>
            <w:r w:rsidRPr="00A64F27">
              <w:rPr>
                <w:rFonts w:ascii="Arial" w:hAnsi="Arial" w:cs="Arial"/>
                <w:noProof/>
                <w:webHidden/>
                <w:color w:val="auto"/>
                <w:szCs w:val="24"/>
              </w:rPr>
              <w:fldChar w:fldCharType="separate"/>
            </w:r>
            <w:r w:rsidRPr="00A64F27">
              <w:rPr>
                <w:rFonts w:ascii="Arial" w:hAnsi="Arial" w:cs="Arial"/>
                <w:noProof/>
                <w:webHidden/>
                <w:color w:val="auto"/>
                <w:szCs w:val="24"/>
              </w:rPr>
              <w:t>10</w:t>
            </w:r>
            <w:r w:rsidRPr="00A64F27">
              <w:rPr>
                <w:rFonts w:ascii="Arial" w:hAnsi="Arial" w:cs="Arial"/>
                <w:noProof/>
                <w:webHidden/>
                <w:color w:val="auto"/>
                <w:szCs w:val="24"/>
              </w:rPr>
              <w:fldChar w:fldCharType="end"/>
            </w:r>
          </w:hyperlink>
        </w:p>
        <w:p w:rsidR="00A64F27" w:rsidRPr="00A64F27" w:rsidRDefault="00A64F27" w:rsidP="00A64F27">
          <w:pPr>
            <w:pStyle w:val="TDC2"/>
            <w:tabs>
              <w:tab w:val="left" w:pos="880"/>
              <w:tab w:val="right" w:leader="dot" w:pos="8494"/>
            </w:tabs>
            <w:jc w:val="both"/>
            <w:rPr>
              <w:rFonts w:ascii="Arial" w:eastAsiaTheme="minorEastAsia" w:hAnsi="Arial" w:cs="Arial"/>
              <w:noProof/>
              <w:sz w:val="24"/>
              <w:szCs w:val="24"/>
              <w:lang w:eastAsia="es-MX"/>
            </w:rPr>
          </w:pPr>
          <w:hyperlink w:anchor="_Toc31119913" w:history="1">
            <w:r w:rsidRPr="00A64F27">
              <w:rPr>
                <w:rStyle w:val="Hipervnculo"/>
                <w:rFonts w:ascii="Arial" w:hAnsi="Arial" w:cs="Arial"/>
                <w:noProof/>
                <w:color w:val="auto"/>
                <w:sz w:val="24"/>
                <w:szCs w:val="24"/>
              </w:rPr>
              <w:t>2.1</w:t>
            </w:r>
            <w:r w:rsidRPr="00A64F27">
              <w:rPr>
                <w:rFonts w:ascii="Arial" w:eastAsiaTheme="minorEastAsia" w:hAnsi="Arial" w:cs="Arial"/>
                <w:noProof/>
                <w:sz w:val="24"/>
                <w:szCs w:val="24"/>
                <w:lang w:eastAsia="es-MX"/>
              </w:rPr>
              <w:tab/>
            </w:r>
            <w:r w:rsidRPr="00A64F27">
              <w:rPr>
                <w:rStyle w:val="Hipervnculo"/>
                <w:rFonts w:ascii="Arial" w:hAnsi="Arial" w:cs="Arial"/>
                <w:noProof/>
                <w:color w:val="auto"/>
                <w:sz w:val="24"/>
                <w:szCs w:val="24"/>
              </w:rPr>
              <w:t>CIBEROGRÁFICA:</w:t>
            </w:r>
            <w:r w:rsidRPr="00A64F27">
              <w:rPr>
                <w:rFonts w:ascii="Arial" w:hAnsi="Arial" w:cs="Arial"/>
                <w:noProof/>
                <w:webHidden/>
                <w:sz w:val="24"/>
                <w:szCs w:val="24"/>
              </w:rPr>
              <w:tab/>
            </w:r>
            <w:r w:rsidRPr="00A64F27">
              <w:rPr>
                <w:rFonts w:ascii="Arial" w:hAnsi="Arial" w:cs="Arial"/>
                <w:noProof/>
                <w:webHidden/>
                <w:sz w:val="24"/>
                <w:szCs w:val="24"/>
              </w:rPr>
              <w:fldChar w:fldCharType="begin"/>
            </w:r>
            <w:r w:rsidRPr="00A64F27">
              <w:rPr>
                <w:rFonts w:ascii="Arial" w:hAnsi="Arial" w:cs="Arial"/>
                <w:noProof/>
                <w:webHidden/>
                <w:sz w:val="24"/>
                <w:szCs w:val="24"/>
              </w:rPr>
              <w:instrText xml:space="preserve"> PAGEREF _Toc31119913 \h </w:instrText>
            </w:r>
            <w:r w:rsidRPr="00A64F27">
              <w:rPr>
                <w:rFonts w:ascii="Arial" w:hAnsi="Arial" w:cs="Arial"/>
                <w:noProof/>
                <w:webHidden/>
                <w:sz w:val="24"/>
                <w:szCs w:val="24"/>
              </w:rPr>
            </w:r>
            <w:r w:rsidRPr="00A64F27">
              <w:rPr>
                <w:rFonts w:ascii="Arial" w:hAnsi="Arial" w:cs="Arial"/>
                <w:noProof/>
                <w:webHidden/>
                <w:sz w:val="24"/>
                <w:szCs w:val="24"/>
              </w:rPr>
              <w:fldChar w:fldCharType="separate"/>
            </w:r>
            <w:r w:rsidRPr="00A64F27">
              <w:rPr>
                <w:rFonts w:ascii="Arial" w:hAnsi="Arial" w:cs="Arial"/>
                <w:noProof/>
                <w:webHidden/>
                <w:sz w:val="24"/>
                <w:szCs w:val="24"/>
              </w:rPr>
              <w:t>10</w:t>
            </w:r>
            <w:r w:rsidRPr="00A64F27">
              <w:rPr>
                <w:rFonts w:ascii="Arial" w:hAnsi="Arial" w:cs="Arial"/>
                <w:noProof/>
                <w:webHidden/>
                <w:sz w:val="24"/>
                <w:szCs w:val="24"/>
              </w:rPr>
              <w:fldChar w:fldCharType="end"/>
            </w:r>
          </w:hyperlink>
        </w:p>
        <w:p w:rsidR="00A64F27" w:rsidRPr="00A64F27" w:rsidRDefault="00A64F27" w:rsidP="00A64F27">
          <w:pPr>
            <w:pStyle w:val="TDC3"/>
            <w:tabs>
              <w:tab w:val="left" w:pos="1320"/>
              <w:tab w:val="right" w:leader="dot" w:pos="8494"/>
            </w:tabs>
            <w:jc w:val="both"/>
            <w:rPr>
              <w:rFonts w:ascii="Arial" w:eastAsiaTheme="minorEastAsia" w:hAnsi="Arial" w:cs="Arial"/>
              <w:noProof/>
              <w:sz w:val="24"/>
              <w:szCs w:val="24"/>
              <w:lang w:eastAsia="es-MX"/>
            </w:rPr>
          </w:pPr>
          <w:hyperlink w:anchor="_Toc31119914" w:history="1">
            <w:r w:rsidRPr="00A64F27">
              <w:rPr>
                <w:rStyle w:val="Hipervnculo"/>
                <w:rFonts w:ascii="Arial" w:hAnsi="Arial" w:cs="Arial"/>
                <w:noProof/>
                <w:color w:val="auto"/>
                <w:sz w:val="24"/>
                <w:szCs w:val="24"/>
              </w:rPr>
              <w:t>2.1.1</w:t>
            </w:r>
            <w:r w:rsidRPr="00A64F27">
              <w:rPr>
                <w:rFonts w:ascii="Arial" w:eastAsiaTheme="minorEastAsia" w:hAnsi="Arial" w:cs="Arial"/>
                <w:noProof/>
                <w:sz w:val="24"/>
                <w:szCs w:val="24"/>
                <w:lang w:eastAsia="es-MX"/>
              </w:rPr>
              <w:tab/>
            </w:r>
            <w:r w:rsidRPr="00A64F27">
              <w:rPr>
                <w:rStyle w:val="Hipervnculo"/>
                <w:rFonts w:ascii="Arial" w:hAnsi="Arial" w:cs="Arial"/>
                <w:noProof/>
                <w:color w:val="auto"/>
                <w:sz w:val="24"/>
                <w:szCs w:val="24"/>
              </w:rPr>
              <w:t>SEMANARIO JUDICIAL DE LA FEDERACIÓN</w:t>
            </w:r>
            <w:r w:rsidRPr="00A64F27">
              <w:rPr>
                <w:rFonts w:ascii="Arial" w:hAnsi="Arial" w:cs="Arial"/>
                <w:noProof/>
                <w:webHidden/>
                <w:sz w:val="24"/>
                <w:szCs w:val="24"/>
              </w:rPr>
              <w:tab/>
            </w:r>
            <w:r w:rsidRPr="00A64F27">
              <w:rPr>
                <w:rFonts w:ascii="Arial" w:hAnsi="Arial" w:cs="Arial"/>
                <w:noProof/>
                <w:webHidden/>
                <w:sz w:val="24"/>
                <w:szCs w:val="24"/>
              </w:rPr>
              <w:fldChar w:fldCharType="begin"/>
            </w:r>
            <w:r w:rsidRPr="00A64F27">
              <w:rPr>
                <w:rFonts w:ascii="Arial" w:hAnsi="Arial" w:cs="Arial"/>
                <w:noProof/>
                <w:webHidden/>
                <w:sz w:val="24"/>
                <w:szCs w:val="24"/>
              </w:rPr>
              <w:instrText xml:space="preserve"> PAGEREF _Toc31119914 \h </w:instrText>
            </w:r>
            <w:r w:rsidRPr="00A64F27">
              <w:rPr>
                <w:rFonts w:ascii="Arial" w:hAnsi="Arial" w:cs="Arial"/>
                <w:noProof/>
                <w:webHidden/>
                <w:sz w:val="24"/>
                <w:szCs w:val="24"/>
              </w:rPr>
            </w:r>
            <w:r w:rsidRPr="00A64F27">
              <w:rPr>
                <w:rFonts w:ascii="Arial" w:hAnsi="Arial" w:cs="Arial"/>
                <w:noProof/>
                <w:webHidden/>
                <w:sz w:val="24"/>
                <w:szCs w:val="24"/>
              </w:rPr>
              <w:fldChar w:fldCharType="separate"/>
            </w:r>
            <w:r w:rsidRPr="00A64F27">
              <w:rPr>
                <w:rFonts w:ascii="Arial" w:hAnsi="Arial" w:cs="Arial"/>
                <w:noProof/>
                <w:webHidden/>
                <w:sz w:val="24"/>
                <w:szCs w:val="24"/>
              </w:rPr>
              <w:t>10</w:t>
            </w:r>
            <w:r w:rsidRPr="00A64F27">
              <w:rPr>
                <w:rFonts w:ascii="Arial" w:hAnsi="Arial" w:cs="Arial"/>
                <w:noProof/>
                <w:webHidden/>
                <w:sz w:val="24"/>
                <w:szCs w:val="24"/>
              </w:rPr>
              <w:fldChar w:fldCharType="end"/>
            </w:r>
          </w:hyperlink>
        </w:p>
        <w:p w:rsidR="00A64F27" w:rsidRDefault="00A64F27" w:rsidP="00A64F27">
          <w:pPr>
            <w:jc w:val="both"/>
          </w:pPr>
          <w:r w:rsidRPr="00A64F27">
            <w:rPr>
              <w:rFonts w:ascii="Arial" w:hAnsi="Arial" w:cs="Arial"/>
              <w:b/>
              <w:bCs/>
              <w:color w:val="auto"/>
              <w:szCs w:val="24"/>
            </w:rPr>
            <w:lastRenderedPageBreak/>
            <w:fldChar w:fldCharType="end"/>
          </w:r>
        </w:p>
      </w:sdtContent>
    </w:sdt>
    <w:p w:rsidR="004C6DA8" w:rsidRPr="00A64F27" w:rsidRDefault="004C6DA8" w:rsidP="00A64F27">
      <w:pPr>
        <w:pStyle w:val="Ttulo1"/>
        <w:numPr>
          <w:ilvl w:val="0"/>
          <w:numId w:val="18"/>
        </w:numPr>
        <w:jc w:val="center"/>
        <w:rPr>
          <w:rFonts w:ascii="Arial" w:hAnsi="Arial" w:cs="Arial"/>
          <w:color w:val="B35E06" w:themeColor="accent1" w:themeShade="BF"/>
          <w:sz w:val="36"/>
          <w:szCs w:val="36"/>
        </w:rPr>
      </w:pPr>
      <w:bookmarkStart w:id="0" w:name="_Toc31119904"/>
      <w:bookmarkStart w:id="1" w:name="_GoBack"/>
      <w:bookmarkEnd w:id="1"/>
      <w:r w:rsidRPr="00A64F27">
        <w:rPr>
          <w:rFonts w:ascii="Arial" w:hAnsi="Arial" w:cs="Arial"/>
          <w:color w:val="B35E06" w:themeColor="accent1" w:themeShade="BF"/>
          <w:sz w:val="36"/>
          <w:szCs w:val="36"/>
        </w:rPr>
        <w:t>TESIS AISLADAS EN MATERIA FAMILIAR</w:t>
      </w:r>
      <w:bookmarkEnd w:id="0"/>
    </w:p>
    <w:p w:rsidR="004C6DA8" w:rsidRDefault="004C6DA8" w:rsidP="004C6DA8">
      <w:pPr>
        <w:spacing w:after="0" w:line="240" w:lineRule="auto"/>
        <w:jc w:val="both"/>
        <w:rPr>
          <w:rFonts w:ascii="Arial" w:hAnsi="Arial" w:cs="Arial"/>
        </w:rPr>
      </w:pPr>
    </w:p>
    <w:p w:rsidR="004C6DA8" w:rsidRDefault="004C6DA8" w:rsidP="004C6DA8">
      <w:pPr>
        <w:spacing w:after="0" w:line="240" w:lineRule="auto"/>
        <w:jc w:val="both"/>
        <w:rPr>
          <w:rFonts w:ascii="Arial" w:hAnsi="Arial" w:cs="Arial"/>
        </w:rPr>
      </w:pPr>
    </w:p>
    <w:p w:rsidR="004C6DA8" w:rsidRPr="00324346" w:rsidRDefault="00057BB2" w:rsidP="004C6DA8">
      <w:pPr>
        <w:spacing w:after="0" w:line="240" w:lineRule="auto"/>
        <w:jc w:val="both"/>
        <w:rPr>
          <w:rFonts w:ascii="Arial" w:hAnsi="Arial" w:cs="Arial"/>
        </w:rPr>
      </w:pPr>
      <w:r>
        <w:rPr>
          <w:rFonts w:ascii="Arial" w:hAnsi="Arial" w:cs="Arial"/>
        </w:rPr>
        <w:t xml:space="preserve">1. </w:t>
      </w:r>
      <w:r w:rsidR="004C6DA8" w:rsidRPr="00324346">
        <w:rPr>
          <w:rFonts w:ascii="Arial" w:hAnsi="Arial" w:cs="Arial"/>
        </w:rPr>
        <w:t xml:space="preserve">Época: Décima Época </w:t>
      </w:r>
    </w:p>
    <w:p w:rsidR="004C6DA8" w:rsidRPr="00324346" w:rsidRDefault="004C6DA8" w:rsidP="004C6DA8">
      <w:pPr>
        <w:spacing w:after="0" w:line="240" w:lineRule="auto"/>
        <w:jc w:val="both"/>
        <w:rPr>
          <w:rFonts w:ascii="Arial" w:hAnsi="Arial" w:cs="Arial"/>
        </w:rPr>
      </w:pPr>
      <w:r w:rsidRPr="00324346">
        <w:rPr>
          <w:rFonts w:ascii="Arial" w:hAnsi="Arial" w:cs="Arial"/>
        </w:rPr>
        <w:t xml:space="preserve">Registro: 2021491 </w:t>
      </w:r>
    </w:p>
    <w:p w:rsidR="004C6DA8" w:rsidRPr="00324346" w:rsidRDefault="004C6DA8" w:rsidP="004C6DA8">
      <w:pPr>
        <w:spacing w:after="0" w:line="240" w:lineRule="auto"/>
        <w:jc w:val="both"/>
        <w:rPr>
          <w:rFonts w:ascii="Arial" w:hAnsi="Arial" w:cs="Arial"/>
        </w:rPr>
      </w:pPr>
      <w:r w:rsidRPr="00324346">
        <w:rPr>
          <w:rFonts w:ascii="Arial" w:hAnsi="Arial" w:cs="Arial"/>
        </w:rPr>
        <w:t xml:space="preserve">Instancia: Tribunales Colegiados de Circuito </w:t>
      </w:r>
    </w:p>
    <w:p w:rsidR="004C6DA8" w:rsidRPr="00324346" w:rsidRDefault="004C6DA8" w:rsidP="004C6DA8">
      <w:pPr>
        <w:spacing w:after="0" w:line="240" w:lineRule="auto"/>
        <w:jc w:val="both"/>
        <w:rPr>
          <w:rFonts w:ascii="Arial" w:hAnsi="Arial" w:cs="Arial"/>
        </w:rPr>
      </w:pPr>
      <w:r w:rsidRPr="00324346">
        <w:rPr>
          <w:rFonts w:ascii="Arial" w:hAnsi="Arial" w:cs="Arial"/>
        </w:rPr>
        <w:t xml:space="preserve">Tipo de Tesis: Aislada </w:t>
      </w:r>
    </w:p>
    <w:p w:rsidR="004C6DA8" w:rsidRPr="00324346" w:rsidRDefault="004C6DA8" w:rsidP="004C6DA8">
      <w:pPr>
        <w:spacing w:after="0" w:line="240" w:lineRule="auto"/>
        <w:jc w:val="both"/>
        <w:rPr>
          <w:rFonts w:ascii="Arial" w:hAnsi="Arial" w:cs="Arial"/>
        </w:rPr>
      </w:pPr>
      <w:r w:rsidRPr="00324346">
        <w:rPr>
          <w:rFonts w:ascii="Arial" w:hAnsi="Arial" w:cs="Arial"/>
        </w:rPr>
        <w:t xml:space="preserve">Fuente: Semanario Judicial de la Federación </w:t>
      </w:r>
    </w:p>
    <w:p w:rsidR="004C6DA8" w:rsidRPr="00324346" w:rsidRDefault="004C6DA8" w:rsidP="004C6DA8">
      <w:pPr>
        <w:spacing w:after="0" w:line="240" w:lineRule="auto"/>
        <w:jc w:val="both"/>
        <w:rPr>
          <w:rFonts w:ascii="Arial" w:hAnsi="Arial" w:cs="Arial"/>
        </w:rPr>
      </w:pPr>
      <w:r w:rsidRPr="00324346">
        <w:rPr>
          <w:rFonts w:ascii="Arial" w:hAnsi="Arial" w:cs="Arial"/>
        </w:rPr>
        <w:t xml:space="preserve">Publicación: viernes 24 de enero de 2020 10:25 h </w:t>
      </w:r>
    </w:p>
    <w:p w:rsidR="004C6DA8" w:rsidRPr="00324346" w:rsidRDefault="004C6DA8" w:rsidP="004C6DA8">
      <w:pPr>
        <w:spacing w:after="0" w:line="240" w:lineRule="auto"/>
        <w:jc w:val="both"/>
        <w:rPr>
          <w:rFonts w:ascii="Arial" w:hAnsi="Arial" w:cs="Arial"/>
        </w:rPr>
      </w:pPr>
      <w:r w:rsidRPr="00324346">
        <w:rPr>
          <w:rFonts w:ascii="Arial" w:hAnsi="Arial" w:cs="Arial"/>
        </w:rPr>
        <w:t xml:space="preserve">Materia(s): (Civil) </w:t>
      </w:r>
    </w:p>
    <w:p w:rsidR="004C6DA8" w:rsidRPr="00324346" w:rsidRDefault="004C6DA8" w:rsidP="004C6DA8">
      <w:pPr>
        <w:spacing w:after="0" w:line="240" w:lineRule="auto"/>
        <w:jc w:val="both"/>
        <w:rPr>
          <w:rFonts w:ascii="Arial" w:hAnsi="Arial" w:cs="Arial"/>
        </w:rPr>
      </w:pPr>
      <w:r w:rsidRPr="00324346">
        <w:rPr>
          <w:rFonts w:ascii="Arial" w:hAnsi="Arial" w:cs="Arial"/>
        </w:rPr>
        <w:t xml:space="preserve">Tesis: VII.2o.C.214 C (10a.) </w:t>
      </w:r>
    </w:p>
    <w:p w:rsidR="004C6DA8" w:rsidRPr="00324346" w:rsidRDefault="004C6DA8" w:rsidP="004C6DA8">
      <w:pPr>
        <w:spacing w:after="0" w:line="240" w:lineRule="auto"/>
        <w:jc w:val="both"/>
        <w:rPr>
          <w:rFonts w:ascii="Arial" w:hAnsi="Arial" w:cs="Arial"/>
        </w:rPr>
      </w:pPr>
    </w:p>
    <w:p w:rsidR="004C6DA8" w:rsidRPr="00057BB2" w:rsidRDefault="004C6DA8" w:rsidP="00057BB2">
      <w:pPr>
        <w:pStyle w:val="Ttulo2"/>
        <w:jc w:val="both"/>
        <w:rPr>
          <w:rFonts w:ascii="Arial" w:hAnsi="Arial" w:cs="Arial"/>
          <w:color w:val="B35E06" w:themeColor="accent1" w:themeShade="BF"/>
          <w:sz w:val="26"/>
          <w:szCs w:val="26"/>
        </w:rPr>
      </w:pPr>
      <w:bookmarkStart w:id="2" w:name="_Toc31119905"/>
      <w:r w:rsidRPr="00057BB2">
        <w:rPr>
          <w:rFonts w:ascii="Arial" w:hAnsi="Arial" w:cs="Arial"/>
          <w:color w:val="B35E06" w:themeColor="accent1" w:themeShade="BF"/>
          <w:sz w:val="26"/>
          <w:szCs w:val="26"/>
        </w:rPr>
        <w:t>PENSIÓN COMPENSATORIA. SU ANÁLISIS DEBE CIRCUNSCRIBIRSE AL MOMENTO EN EL CUAL SE DECRETÓ EL DIVORCIO, AUN CUANDO SE DEMANDE SU PAGO EN JUICIO AUTÓNOMO.</w:t>
      </w:r>
      <w:bookmarkEnd w:id="2"/>
    </w:p>
    <w:p w:rsidR="004C6DA8" w:rsidRPr="00324346" w:rsidRDefault="004C6DA8" w:rsidP="004C6DA8">
      <w:pPr>
        <w:spacing w:after="0" w:line="240" w:lineRule="auto"/>
        <w:jc w:val="both"/>
        <w:rPr>
          <w:rFonts w:ascii="Arial" w:hAnsi="Arial" w:cs="Arial"/>
        </w:rPr>
      </w:pPr>
    </w:p>
    <w:p w:rsidR="004C6DA8" w:rsidRPr="00324346" w:rsidRDefault="004C6DA8" w:rsidP="004C6DA8">
      <w:pPr>
        <w:spacing w:after="0" w:line="240" w:lineRule="auto"/>
        <w:jc w:val="both"/>
        <w:rPr>
          <w:rFonts w:ascii="Arial" w:hAnsi="Arial" w:cs="Arial"/>
        </w:rPr>
      </w:pPr>
      <w:r w:rsidRPr="00324346">
        <w:rPr>
          <w:rFonts w:ascii="Arial" w:hAnsi="Arial" w:cs="Arial"/>
        </w:rPr>
        <w:t>Cuando se demanda el pago de una pensión compensatoria en un juicio autónomo al del divorcio derivado de la inexistencia de cosa juzgada, el juzgador deberá analizar el posible desequilibrio económico entre los consortes, atendiendo a las circunstancias que existían a la fecha en la cual se decretó la disolución del vínculo matrimonial para resolver sobre la procedencia o improcedencia de la pensión compensatoria, esto es, el estudio correspondiente a ésta deberá retrotraerse a la situación existente entre los cónyuges al momento de decretarse el divorcio, toda vez que esa prestación deriva del desequilibrio económico acaecido por motivo del propio divorcio y no de la situación que impera al momento de ejercitar la acción autónoma de pago de pensión compensatoria.</w:t>
      </w:r>
    </w:p>
    <w:p w:rsidR="004C6DA8" w:rsidRPr="00324346" w:rsidRDefault="004C6DA8" w:rsidP="004C6DA8">
      <w:pPr>
        <w:spacing w:after="0" w:line="240" w:lineRule="auto"/>
        <w:jc w:val="both"/>
        <w:rPr>
          <w:rFonts w:ascii="Arial" w:hAnsi="Arial" w:cs="Arial"/>
        </w:rPr>
      </w:pPr>
    </w:p>
    <w:p w:rsidR="004C6DA8" w:rsidRPr="00324346" w:rsidRDefault="004C6DA8" w:rsidP="004C6DA8">
      <w:pPr>
        <w:spacing w:after="0" w:line="240" w:lineRule="auto"/>
        <w:jc w:val="both"/>
        <w:rPr>
          <w:rFonts w:ascii="Arial" w:hAnsi="Arial" w:cs="Arial"/>
        </w:rPr>
      </w:pPr>
      <w:r w:rsidRPr="00324346">
        <w:rPr>
          <w:rFonts w:ascii="Arial" w:hAnsi="Arial" w:cs="Arial"/>
        </w:rPr>
        <w:t>SEGUNDO TRIBUNAL COLEGIADO EN MATERIA CIVIL DEL SÉPTIMO CIRCUITO.</w:t>
      </w:r>
    </w:p>
    <w:p w:rsidR="004C6DA8" w:rsidRPr="00324346" w:rsidRDefault="004C6DA8" w:rsidP="004C6DA8">
      <w:pPr>
        <w:spacing w:after="0" w:line="240" w:lineRule="auto"/>
        <w:jc w:val="both"/>
        <w:rPr>
          <w:rFonts w:ascii="Arial" w:hAnsi="Arial" w:cs="Arial"/>
        </w:rPr>
      </w:pPr>
    </w:p>
    <w:p w:rsidR="004C6DA8" w:rsidRPr="00324346" w:rsidRDefault="004C6DA8" w:rsidP="004C6DA8">
      <w:pPr>
        <w:spacing w:after="0" w:line="240" w:lineRule="auto"/>
        <w:jc w:val="both"/>
        <w:rPr>
          <w:rFonts w:ascii="Arial" w:hAnsi="Arial" w:cs="Arial"/>
        </w:rPr>
      </w:pPr>
      <w:r w:rsidRPr="00324346">
        <w:rPr>
          <w:rFonts w:ascii="Arial" w:hAnsi="Arial" w:cs="Arial"/>
        </w:rPr>
        <w:t>Amparo directo 368/2019. 26 de septiembre de 2019. Unanimidad de votos. Ponente: José Manuel De Alba De Alba. Secretaria: Diana Helena Sánchez Álvarez.</w:t>
      </w:r>
    </w:p>
    <w:p w:rsidR="004C6DA8" w:rsidRPr="00003B18" w:rsidRDefault="004C6DA8" w:rsidP="004C6DA8">
      <w:pPr>
        <w:spacing w:after="0" w:line="240" w:lineRule="auto"/>
        <w:jc w:val="both"/>
        <w:rPr>
          <w:rFonts w:ascii="Arial" w:hAnsi="Arial" w:cs="Arial"/>
        </w:rPr>
      </w:pPr>
    </w:p>
    <w:p w:rsidR="004C6DA8" w:rsidRDefault="004C6DA8" w:rsidP="004C6DA8">
      <w:pPr>
        <w:spacing w:after="0" w:line="240" w:lineRule="auto"/>
        <w:jc w:val="both"/>
        <w:rPr>
          <w:rFonts w:ascii="Arial" w:hAnsi="Arial" w:cs="Arial"/>
        </w:rPr>
      </w:pPr>
    </w:p>
    <w:p w:rsidR="004C6DA8" w:rsidRDefault="004C6DA8" w:rsidP="004C6DA8">
      <w:pPr>
        <w:spacing w:after="0" w:line="240" w:lineRule="auto"/>
        <w:jc w:val="both"/>
        <w:rPr>
          <w:rFonts w:ascii="Arial" w:hAnsi="Arial" w:cs="Arial"/>
        </w:rPr>
      </w:pPr>
    </w:p>
    <w:p w:rsidR="004C6DA8" w:rsidRDefault="004C6DA8" w:rsidP="004C6DA8">
      <w:pPr>
        <w:spacing w:after="0" w:line="240" w:lineRule="auto"/>
        <w:jc w:val="both"/>
        <w:rPr>
          <w:rFonts w:ascii="Arial" w:hAnsi="Arial" w:cs="Arial"/>
        </w:rPr>
      </w:pPr>
    </w:p>
    <w:p w:rsidR="004C28F6" w:rsidRPr="004C6DA8" w:rsidRDefault="00057BB2" w:rsidP="004C6DA8">
      <w:pPr>
        <w:spacing w:after="0" w:line="240" w:lineRule="auto"/>
        <w:jc w:val="both"/>
        <w:rPr>
          <w:rFonts w:ascii="Arial" w:hAnsi="Arial" w:cs="Arial"/>
        </w:rPr>
      </w:pPr>
      <w:r>
        <w:rPr>
          <w:rFonts w:ascii="Arial" w:hAnsi="Arial" w:cs="Arial"/>
        </w:rPr>
        <w:t xml:space="preserve">2. </w:t>
      </w:r>
      <w:r w:rsidR="004C28F6" w:rsidRPr="004C6DA8">
        <w:rPr>
          <w:rFonts w:ascii="Arial" w:hAnsi="Arial" w:cs="Arial"/>
        </w:rPr>
        <w:t xml:space="preserve">Época: Décima Época </w:t>
      </w:r>
    </w:p>
    <w:p w:rsidR="004C28F6" w:rsidRPr="004C6DA8" w:rsidRDefault="004C28F6" w:rsidP="004C6DA8">
      <w:pPr>
        <w:spacing w:after="0" w:line="240" w:lineRule="auto"/>
        <w:jc w:val="both"/>
        <w:rPr>
          <w:rFonts w:ascii="Arial" w:hAnsi="Arial" w:cs="Arial"/>
        </w:rPr>
      </w:pPr>
      <w:r w:rsidRPr="004C6DA8">
        <w:rPr>
          <w:rFonts w:ascii="Arial" w:hAnsi="Arial" w:cs="Arial"/>
        </w:rPr>
        <w:t xml:space="preserve">Registro: 2021490 </w:t>
      </w:r>
    </w:p>
    <w:p w:rsidR="004C28F6" w:rsidRPr="004C6DA8" w:rsidRDefault="004C28F6" w:rsidP="004C6DA8">
      <w:pPr>
        <w:spacing w:after="0" w:line="240" w:lineRule="auto"/>
        <w:jc w:val="both"/>
        <w:rPr>
          <w:rFonts w:ascii="Arial" w:hAnsi="Arial" w:cs="Arial"/>
        </w:rPr>
      </w:pPr>
      <w:r w:rsidRPr="004C6DA8">
        <w:rPr>
          <w:rFonts w:ascii="Arial" w:hAnsi="Arial" w:cs="Arial"/>
        </w:rPr>
        <w:t xml:space="preserve">Instancia: Tribunales Colegiados de Circuito </w:t>
      </w:r>
    </w:p>
    <w:p w:rsidR="004C28F6" w:rsidRPr="004C6DA8" w:rsidRDefault="004C28F6" w:rsidP="004C6DA8">
      <w:pPr>
        <w:spacing w:after="0" w:line="240" w:lineRule="auto"/>
        <w:jc w:val="both"/>
        <w:rPr>
          <w:rFonts w:ascii="Arial" w:hAnsi="Arial" w:cs="Arial"/>
        </w:rPr>
      </w:pPr>
      <w:r w:rsidRPr="004C6DA8">
        <w:rPr>
          <w:rFonts w:ascii="Arial" w:hAnsi="Arial" w:cs="Arial"/>
        </w:rPr>
        <w:t xml:space="preserve">Tipo de Tesis: Aislada </w:t>
      </w:r>
    </w:p>
    <w:p w:rsidR="004C28F6" w:rsidRPr="004C6DA8" w:rsidRDefault="004C28F6" w:rsidP="004C6DA8">
      <w:pPr>
        <w:spacing w:after="0" w:line="240" w:lineRule="auto"/>
        <w:jc w:val="both"/>
        <w:rPr>
          <w:rFonts w:ascii="Arial" w:hAnsi="Arial" w:cs="Arial"/>
        </w:rPr>
      </w:pPr>
      <w:r w:rsidRPr="004C6DA8">
        <w:rPr>
          <w:rFonts w:ascii="Arial" w:hAnsi="Arial" w:cs="Arial"/>
        </w:rPr>
        <w:t xml:space="preserve">Fuente: Semanario Judicial de la Federación </w:t>
      </w:r>
    </w:p>
    <w:p w:rsidR="004C28F6" w:rsidRPr="004C6DA8" w:rsidRDefault="004C28F6" w:rsidP="004C6DA8">
      <w:pPr>
        <w:spacing w:after="0" w:line="240" w:lineRule="auto"/>
        <w:jc w:val="both"/>
        <w:rPr>
          <w:rFonts w:ascii="Arial" w:hAnsi="Arial" w:cs="Arial"/>
        </w:rPr>
      </w:pPr>
      <w:r w:rsidRPr="004C6DA8">
        <w:rPr>
          <w:rFonts w:ascii="Arial" w:hAnsi="Arial" w:cs="Arial"/>
        </w:rPr>
        <w:t xml:space="preserve">Publicación: viernes 24 de enero de 2020 10:25 h </w:t>
      </w:r>
    </w:p>
    <w:p w:rsidR="004C28F6" w:rsidRPr="004C6DA8" w:rsidRDefault="004C28F6" w:rsidP="004C6DA8">
      <w:pPr>
        <w:spacing w:after="0" w:line="240" w:lineRule="auto"/>
        <w:jc w:val="both"/>
        <w:rPr>
          <w:rFonts w:ascii="Arial" w:hAnsi="Arial" w:cs="Arial"/>
        </w:rPr>
      </w:pPr>
      <w:r w:rsidRPr="004C6DA8">
        <w:rPr>
          <w:rFonts w:ascii="Arial" w:hAnsi="Arial" w:cs="Arial"/>
        </w:rPr>
        <w:t xml:space="preserve">Materia(s): (Civil) </w:t>
      </w:r>
    </w:p>
    <w:p w:rsidR="004C28F6" w:rsidRPr="004C6DA8" w:rsidRDefault="004C28F6" w:rsidP="004C6DA8">
      <w:pPr>
        <w:spacing w:after="0" w:line="240" w:lineRule="auto"/>
        <w:jc w:val="both"/>
        <w:rPr>
          <w:rFonts w:ascii="Arial" w:hAnsi="Arial" w:cs="Arial"/>
        </w:rPr>
      </w:pPr>
      <w:r w:rsidRPr="004C6DA8">
        <w:rPr>
          <w:rFonts w:ascii="Arial" w:hAnsi="Arial" w:cs="Arial"/>
        </w:rPr>
        <w:t xml:space="preserve">Tesis: VII.2o.C.213 C (10a.) </w:t>
      </w:r>
    </w:p>
    <w:p w:rsidR="004C28F6" w:rsidRPr="004C6DA8" w:rsidRDefault="004C28F6" w:rsidP="004C6DA8">
      <w:pPr>
        <w:spacing w:after="0" w:line="240" w:lineRule="auto"/>
        <w:jc w:val="both"/>
        <w:rPr>
          <w:rFonts w:ascii="Arial" w:hAnsi="Arial" w:cs="Arial"/>
        </w:rPr>
      </w:pPr>
    </w:p>
    <w:p w:rsidR="004C28F6" w:rsidRPr="00057BB2" w:rsidRDefault="004C28F6" w:rsidP="00057BB2">
      <w:pPr>
        <w:pStyle w:val="Ttulo2"/>
        <w:jc w:val="both"/>
        <w:rPr>
          <w:rFonts w:ascii="Arial" w:hAnsi="Arial" w:cs="Arial"/>
          <w:color w:val="B35E06" w:themeColor="accent1" w:themeShade="BF"/>
          <w:sz w:val="26"/>
          <w:szCs w:val="26"/>
        </w:rPr>
      </w:pPr>
      <w:bookmarkStart w:id="3" w:name="_Toc31119906"/>
      <w:r w:rsidRPr="00057BB2">
        <w:rPr>
          <w:rFonts w:ascii="Arial" w:hAnsi="Arial" w:cs="Arial"/>
          <w:color w:val="B35E06" w:themeColor="accent1" w:themeShade="BF"/>
          <w:sz w:val="26"/>
          <w:szCs w:val="26"/>
        </w:rPr>
        <w:t>PENSIÓN COMPENSATORIA. PROCEDE DEMANDARLA EN JUICIO AUTÓNOMO AL DE DIVORCIO CUANDO NO EXISTE COSA JUZGADA.</w:t>
      </w:r>
      <w:bookmarkEnd w:id="3"/>
    </w:p>
    <w:p w:rsidR="004C28F6" w:rsidRPr="004C6DA8" w:rsidRDefault="004C28F6" w:rsidP="004C6DA8">
      <w:pPr>
        <w:spacing w:after="0" w:line="240" w:lineRule="auto"/>
        <w:jc w:val="both"/>
        <w:rPr>
          <w:rFonts w:ascii="Arial" w:hAnsi="Arial" w:cs="Arial"/>
        </w:rPr>
      </w:pPr>
    </w:p>
    <w:p w:rsidR="004C28F6" w:rsidRPr="004C6DA8" w:rsidRDefault="004C28F6" w:rsidP="004C6DA8">
      <w:pPr>
        <w:spacing w:after="0" w:line="240" w:lineRule="auto"/>
        <w:jc w:val="both"/>
        <w:rPr>
          <w:rFonts w:ascii="Arial" w:hAnsi="Arial" w:cs="Arial"/>
        </w:rPr>
      </w:pPr>
      <w:r w:rsidRPr="004C6DA8">
        <w:rPr>
          <w:rFonts w:ascii="Arial" w:hAnsi="Arial" w:cs="Arial"/>
        </w:rPr>
        <w:t>Si en el juicio en donde se decretó el divorcio no se realizó el estudio correspondiente para establecer la procedencia o improcedencia de la pensión compensatoria, entonces, resulta dable demandarla en juicio autónomo cuando no exista cosa juzgada. En efecto, no existe norma jurídica que prohíba la posibilidad de promover un juicio para demandar el pago de una pensión compensatoria en aquellos casos en donde se haya disuelto el matrimonio y el juzgador respectivo haya omitido realizar el análisis correspondiente al desequilibrio económico. Lo anterior es así, porque si en un juicio de divorcio no se llevó a cabo el estudio de la pensión compensatoria que pudiere decretarse derivado del desequilibrio económico que sufriera cualquiera de las partes, es decir, entre los cónyuges, no existe impedimento jurídico –al no haberse resuelto con antelación– para que el juzgador estudie en diverso proceso si por motivo del divorcio decretado existe el mencionado desequilibrio a fin de fijar una pensión compensatoria. Además, el derecho a poder recibir una pensión compensatoria parte de la obligación del Estado Mexicano de asegurar la igualdad sustantiva y adecuada equivalencia de responsabilidades de los (as) ex cónyuges, al momento del divorcio, reconocida en el parámetro de regularidad constitucional conformado por los artículos 4o. de la Constitución Política de los Estados Unidos Mexicanos, 16, numeral 1, de la Declaración Universal de los Derechos Humanos, 23, numeral 4, del Pacto Internacional de Derechos Civiles y Políticos, 17, numeral 4, de la Convención Americana sobre Derechos Humanos y 16, numeral 1, inciso c), de la Convención sobre la Eliminación de todas las Formas de Discriminación contra la Mujer.</w:t>
      </w:r>
    </w:p>
    <w:p w:rsidR="004C28F6" w:rsidRPr="004C6DA8" w:rsidRDefault="004C28F6" w:rsidP="004C6DA8">
      <w:pPr>
        <w:spacing w:after="0" w:line="240" w:lineRule="auto"/>
        <w:jc w:val="both"/>
        <w:rPr>
          <w:rFonts w:ascii="Arial" w:hAnsi="Arial" w:cs="Arial"/>
        </w:rPr>
      </w:pPr>
    </w:p>
    <w:p w:rsidR="004C28F6" w:rsidRPr="004C6DA8" w:rsidRDefault="004C28F6" w:rsidP="004C6DA8">
      <w:pPr>
        <w:spacing w:after="0" w:line="240" w:lineRule="auto"/>
        <w:jc w:val="both"/>
        <w:rPr>
          <w:rFonts w:ascii="Arial" w:hAnsi="Arial" w:cs="Arial"/>
        </w:rPr>
      </w:pPr>
      <w:r w:rsidRPr="004C6DA8">
        <w:rPr>
          <w:rFonts w:ascii="Arial" w:hAnsi="Arial" w:cs="Arial"/>
        </w:rPr>
        <w:t>SEGUNDO TRIBUNAL COLEGIADO EN MATERIA CIVIL DEL SÉPTIMO CIRCUITO.</w:t>
      </w:r>
    </w:p>
    <w:p w:rsidR="004C28F6" w:rsidRPr="004C6DA8" w:rsidRDefault="004C28F6" w:rsidP="004C6DA8">
      <w:pPr>
        <w:spacing w:after="0" w:line="240" w:lineRule="auto"/>
        <w:jc w:val="both"/>
        <w:rPr>
          <w:rFonts w:ascii="Arial" w:hAnsi="Arial" w:cs="Arial"/>
        </w:rPr>
      </w:pPr>
    </w:p>
    <w:p w:rsidR="004C28F6" w:rsidRPr="004C6DA8" w:rsidRDefault="004C28F6" w:rsidP="004C6DA8">
      <w:pPr>
        <w:spacing w:after="0" w:line="240" w:lineRule="auto"/>
        <w:jc w:val="both"/>
        <w:rPr>
          <w:rFonts w:ascii="Arial" w:hAnsi="Arial" w:cs="Arial"/>
        </w:rPr>
      </w:pPr>
      <w:r w:rsidRPr="004C6DA8">
        <w:rPr>
          <w:rFonts w:ascii="Arial" w:hAnsi="Arial" w:cs="Arial"/>
        </w:rPr>
        <w:t>Amparo directo 368/2019. 26 de septiembre de 2019. Unanimidad de votos. Ponente: José Manuel De Alba De Alba. Secretaria: Diana Helena Sánchez Álvarez.</w:t>
      </w:r>
    </w:p>
    <w:p w:rsidR="004C28F6" w:rsidRPr="004C6DA8" w:rsidRDefault="004C28F6" w:rsidP="004C6DA8">
      <w:pPr>
        <w:spacing w:after="0" w:line="240" w:lineRule="auto"/>
        <w:jc w:val="both"/>
        <w:rPr>
          <w:rFonts w:ascii="Arial" w:hAnsi="Arial" w:cs="Arial"/>
        </w:rPr>
      </w:pPr>
    </w:p>
    <w:p w:rsidR="00057BB2" w:rsidRDefault="00057BB2" w:rsidP="004C6DA8">
      <w:pPr>
        <w:spacing w:after="0" w:line="240" w:lineRule="auto"/>
        <w:jc w:val="both"/>
        <w:rPr>
          <w:rFonts w:ascii="Arial" w:hAnsi="Arial" w:cs="Arial"/>
        </w:rPr>
      </w:pPr>
    </w:p>
    <w:p w:rsidR="00C421DB" w:rsidRPr="00C421DB" w:rsidRDefault="00057BB2" w:rsidP="00C421DB">
      <w:pPr>
        <w:spacing w:after="0" w:line="240" w:lineRule="auto"/>
        <w:jc w:val="both"/>
        <w:rPr>
          <w:rFonts w:ascii="Arial" w:hAnsi="Arial" w:cs="Arial"/>
        </w:rPr>
      </w:pPr>
      <w:r>
        <w:rPr>
          <w:rFonts w:ascii="Arial" w:hAnsi="Arial" w:cs="Arial"/>
        </w:rPr>
        <w:t xml:space="preserve">3. </w:t>
      </w:r>
      <w:r w:rsidR="00C421DB" w:rsidRPr="00C421DB">
        <w:rPr>
          <w:rFonts w:ascii="Arial" w:hAnsi="Arial" w:cs="Arial"/>
        </w:rPr>
        <w:t xml:space="preserve">Época: Décima Época </w:t>
      </w:r>
    </w:p>
    <w:p w:rsidR="00C421DB" w:rsidRPr="00C421DB" w:rsidRDefault="00C421DB" w:rsidP="00C421DB">
      <w:pPr>
        <w:spacing w:after="0" w:line="240" w:lineRule="auto"/>
        <w:jc w:val="both"/>
        <w:rPr>
          <w:rFonts w:ascii="Arial" w:hAnsi="Arial" w:cs="Arial"/>
        </w:rPr>
      </w:pPr>
      <w:r w:rsidRPr="00C421DB">
        <w:rPr>
          <w:rFonts w:ascii="Arial" w:hAnsi="Arial" w:cs="Arial"/>
        </w:rPr>
        <w:t xml:space="preserve">Registro: 2021480 </w:t>
      </w:r>
    </w:p>
    <w:p w:rsidR="00C421DB" w:rsidRPr="00C421DB" w:rsidRDefault="00C421DB" w:rsidP="00C421DB">
      <w:pPr>
        <w:spacing w:after="0" w:line="240" w:lineRule="auto"/>
        <w:jc w:val="both"/>
        <w:rPr>
          <w:rFonts w:ascii="Arial" w:hAnsi="Arial" w:cs="Arial"/>
        </w:rPr>
      </w:pPr>
      <w:r w:rsidRPr="00C421DB">
        <w:rPr>
          <w:rFonts w:ascii="Arial" w:hAnsi="Arial" w:cs="Arial"/>
        </w:rPr>
        <w:t xml:space="preserve">Instancia: Tribunales Colegiados de Circuito </w:t>
      </w:r>
    </w:p>
    <w:p w:rsidR="00C421DB" w:rsidRPr="00C421DB" w:rsidRDefault="00C421DB" w:rsidP="00C421DB">
      <w:pPr>
        <w:spacing w:after="0" w:line="240" w:lineRule="auto"/>
        <w:jc w:val="both"/>
        <w:rPr>
          <w:rFonts w:ascii="Arial" w:hAnsi="Arial" w:cs="Arial"/>
        </w:rPr>
      </w:pPr>
      <w:r w:rsidRPr="00C421DB">
        <w:rPr>
          <w:rFonts w:ascii="Arial" w:hAnsi="Arial" w:cs="Arial"/>
        </w:rPr>
        <w:t xml:space="preserve">Tipo de Tesis: Aislada </w:t>
      </w:r>
    </w:p>
    <w:p w:rsidR="00C421DB" w:rsidRPr="00C421DB" w:rsidRDefault="00C421DB" w:rsidP="00C421DB">
      <w:pPr>
        <w:spacing w:after="0" w:line="240" w:lineRule="auto"/>
        <w:jc w:val="both"/>
        <w:rPr>
          <w:rFonts w:ascii="Arial" w:hAnsi="Arial" w:cs="Arial"/>
        </w:rPr>
      </w:pPr>
      <w:r w:rsidRPr="00C421DB">
        <w:rPr>
          <w:rFonts w:ascii="Arial" w:hAnsi="Arial" w:cs="Arial"/>
        </w:rPr>
        <w:t xml:space="preserve">Fuente: Semanario Judicial de la Federación </w:t>
      </w:r>
    </w:p>
    <w:p w:rsidR="00C421DB" w:rsidRPr="00C421DB" w:rsidRDefault="00C421DB" w:rsidP="00C421DB">
      <w:pPr>
        <w:spacing w:after="0" w:line="240" w:lineRule="auto"/>
        <w:jc w:val="both"/>
        <w:rPr>
          <w:rFonts w:ascii="Arial" w:hAnsi="Arial" w:cs="Arial"/>
        </w:rPr>
      </w:pPr>
      <w:r w:rsidRPr="00C421DB">
        <w:rPr>
          <w:rFonts w:ascii="Arial" w:hAnsi="Arial" w:cs="Arial"/>
        </w:rPr>
        <w:t xml:space="preserve">Publicación: viernes 24 de enero de 2020 10:25 h </w:t>
      </w:r>
    </w:p>
    <w:p w:rsidR="00C421DB" w:rsidRPr="00C421DB" w:rsidRDefault="00C421DB" w:rsidP="00C421DB">
      <w:pPr>
        <w:spacing w:after="0" w:line="240" w:lineRule="auto"/>
        <w:jc w:val="both"/>
        <w:rPr>
          <w:rFonts w:ascii="Arial" w:hAnsi="Arial" w:cs="Arial"/>
        </w:rPr>
      </w:pPr>
      <w:r w:rsidRPr="00C421DB">
        <w:rPr>
          <w:rFonts w:ascii="Arial" w:hAnsi="Arial" w:cs="Arial"/>
        </w:rPr>
        <w:t xml:space="preserve">Materia(s): (Constitucional, Civil) </w:t>
      </w:r>
    </w:p>
    <w:p w:rsidR="00C421DB" w:rsidRPr="00C421DB" w:rsidRDefault="00C421DB" w:rsidP="00C421DB">
      <w:pPr>
        <w:spacing w:after="0" w:line="240" w:lineRule="auto"/>
        <w:jc w:val="both"/>
        <w:rPr>
          <w:rFonts w:ascii="Arial" w:hAnsi="Arial" w:cs="Arial"/>
        </w:rPr>
      </w:pPr>
      <w:r w:rsidRPr="00C421DB">
        <w:rPr>
          <w:rFonts w:ascii="Arial" w:hAnsi="Arial" w:cs="Arial"/>
        </w:rPr>
        <w:t xml:space="preserve">Tesis: VII.2o.C.219 C (10a.) </w:t>
      </w:r>
    </w:p>
    <w:p w:rsidR="00C421DB" w:rsidRPr="00C421DB" w:rsidRDefault="00C421DB" w:rsidP="00C421DB">
      <w:pPr>
        <w:spacing w:after="0" w:line="240" w:lineRule="auto"/>
        <w:jc w:val="both"/>
        <w:rPr>
          <w:rFonts w:ascii="Arial" w:hAnsi="Arial" w:cs="Arial"/>
        </w:rPr>
      </w:pPr>
    </w:p>
    <w:p w:rsidR="00C421DB" w:rsidRPr="00057BB2" w:rsidRDefault="00C421DB" w:rsidP="00057BB2">
      <w:pPr>
        <w:pStyle w:val="Ttulo2"/>
        <w:jc w:val="both"/>
        <w:rPr>
          <w:rFonts w:ascii="Arial" w:hAnsi="Arial" w:cs="Arial"/>
          <w:color w:val="B35E06" w:themeColor="accent1" w:themeShade="BF"/>
          <w:sz w:val="26"/>
          <w:szCs w:val="26"/>
        </w:rPr>
      </w:pPr>
      <w:bookmarkStart w:id="4" w:name="_Toc31119907"/>
      <w:r w:rsidRPr="00057BB2">
        <w:rPr>
          <w:rFonts w:ascii="Arial" w:hAnsi="Arial" w:cs="Arial"/>
          <w:color w:val="B35E06" w:themeColor="accent1" w:themeShade="BF"/>
          <w:sz w:val="26"/>
          <w:szCs w:val="26"/>
        </w:rPr>
        <w:t>INTERÉS SUPERIOR DEL MENOR. DICHO PRINCIPIO NO PUEDE SERVIR DE MEDIDA IDÓNEA PARA RESTRINGIR A LA MADRE LA GUARDA Y CUSTODIA, POR DEDICARSE COMO FORMA DE TRABAJO A LA PROSTITUCIÓN.</w:t>
      </w:r>
      <w:r w:rsidR="00057BB2">
        <w:rPr>
          <w:rStyle w:val="Refdenotaalpie"/>
          <w:rFonts w:ascii="Arial" w:hAnsi="Arial" w:cs="Arial"/>
          <w:color w:val="B35E06" w:themeColor="accent1" w:themeShade="BF"/>
          <w:sz w:val="26"/>
          <w:szCs w:val="26"/>
        </w:rPr>
        <w:footnoteReference w:id="1"/>
      </w:r>
      <w:bookmarkEnd w:id="4"/>
    </w:p>
    <w:p w:rsidR="00C421DB" w:rsidRPr="00C421DB" w:rsidRDefault="00C421DB" w:rsidP="00C421DB">
      <w:pPr>
        <w:spacing w:after="0" w:line="240" w:lineRule="auto"/>
        <w:jc w:val="both"/>
        <w:rPr>
          <w:rFonts w:ascii="Arial" w:hAnsi="Arial" w:cs="Arial"/>
        </w:rPr>
      </w:pPr>
    </w:p>
    <w:p w:rsidR="00C421DB" w:rsidRPr="00C421DB" w:rsidRDefault="00C421DB" w:rsidP="00C421DB">
      <w:pPr>
        <w:spacing w:after="0" w:line="240" w:lineRule="auto"/>
        <w:jc w:val="both"/>
        <w:rPr>
          <w:rFonts w:ascii="Arial" w:hAnsi="Arial" w:cs="Arial"/>
        </w:rPr>
      </w:pPr>
      <w:r w:rsidRPr="00C421DB">
        <w:rPr>
          <w:rFonts w:ascii="Arial" w:hAnsi="Arial" w:cs="Arial"/>
        </w:rPr>
        <w:t xml:space="preserve">La Constitución Política de los Estados Unidos Mexicanos en su artículo 4o. y la Convención Americana sobre Derechos Humanos, establecen como principio el interés superior del menor. Asimismo, la Corte Interamericana de Derechos Humanos resaltó en el caso </w:t>
      </w:r>
      <w:proofErr w:type="spellStart"/>
      <w:r w:rsidRPr="00C421DB">
        <w:rPr>
          <w:rFonts w:ascii="Arial" w:hAnsi="Arial" w:cs="Arial"/>
        </w:rPr>
        <w:t>Atala</w:t>
      </w:r>
      <w:proofErr w:type="spellEnd"/>
      <w:r w:rsidRPr="00C421DB">
        <w:rPr>
          <w:rFonts w:ascii="Arial" w:hAnsi="Arial" w:cs="Arial"/>
        </w:rPr>
        <w:t xml:space="preserve"> </w:t>
      </w:r>
      <w:proofErr w:type="spellStart"/>
      <w:r w:rsidRPr="00C421DB">
        <w:rPr>
          <w:rFonts w:ascii="Arial" w:hAnsi="Arial" w:cs="Arial"/>
        </w:rPr>
        <w:t>Riffo</w:t>
      </w:r>
      <w:proofErr w:type="spellEnd"/>
      <w:r w:rsidRPr="00C421DB">
        <w:rPr>
          <w:rFonts w:ascii="Arial" w:hAnsi="Arial" w:cs="Arial"/>
        </w:rPr>
        <w:t xml:space="preserve"> y Niñas Vs. Chile, que el objetivo general de proteger el principio del interés superior del niño es, en sí mismo, un fin legítimo y es, además, imperativo. En ese mismo sentido, indicó que para asegurar en la mayor medida posible, la prevalencia del interés superior del menor, el preámbulo de la Convención sobre los Derechos del Niño establece que éste requiere "cuidados especiales" y el artículo 19 de la Convención Americana citada, señala que debe recibir "medidas especiales de protección". Igualmente, la Corte Interamericana constató que la determinación del interés superior del menor, en casos de cuidados y custodia de menores de edad debe hacerse a partir de la evaluación de los comportamientos parentales específicos y su impacto negativo en el bienestar y desarrollo del niño según el caso, los daños o riesgos reales o probados y no especulativos o imaginarios. Por tanto, no pueden ser admisibles las especulaciones, presunciones, estereotipos o consideraciones generalizadas sobre características personales de los padres o preferencias culturales o labores lícitas respecto a ciertos conceptos tradicionales de la familia. En esa medida, dicho tribunal observó que al ser, en abstracto, el "interés superior del niño" un fin legítimo, la sola </w:t>
      </w:r>
      <w:r w:rsidRPr="00C421DB">
        <w:rPr>
          <w:rFonts w:ascii="Arial" w:hAnsi="Arial" w:cs="Arial"/>
        </w:rPr>
        <w:lastRenderedPageBreak/>
        <w:t>referencia al mismo sin probar, en concreto, los riesgos o daños que podrían conllevar la orientación sexual de la madre para las niñas, no puede servir de medida idónea para la restricción de un derecho protegido como el de poder ejercer todos los derechos humanos sin discriminación alguna en contra de la madre por la orientación de la persona. Así, el interés superior del menor no puede ser utilizado para amparar la discriminación en contra de la madre o el padre por la orientación sexual de cualquiera de ellos. De este modo, el juzgador no puede tomar en consideración esa condición social como elemento para decidir sobre una tuición o custodia. Por ende, bajo un argumento por analogía, el de que la madre se dedique como forma de trabajo a la prostitución, no puede ser considerado como un factor para excluirla de la custodia de sus hijos.</w:t>
      </w:r>
    </w:p>
    <w:p w:rsidR="00C421DB" w:rsidRPr="00C421DB" w:rsidRDefault="00C421DB" w:rsidP="00C421DB">
      <w:pPr>
        <w:spacing w:after="0" w:line="240" w:lineRule="auto"/>
        <w:jc w:val="both"/>
        <w:rPr>
          <w:rFonts w:ascii="Arial" w:hAnsi="Arial" w:cs="Arial"/>
        </w:rPr>
      </w:pPr>
    </w:p>
    <w:p w:rsidR="00C421DB" w:rsidRPr="00C421DB" w:rsidRDefault="00C421DB" w:rsidP="00C421DB">
      <w:pPr>
        <w:spacing w:after="0" w:line="240" w:lineRule="auto"/>
        <w:jc w:val="both"/>
        <w:rPr>
          <w:rFonts w:ascii="Arial" w:hAnsi="Arial" w:cs="Arial"/>
        </w:rPr>
      </w:pPr>
      <w:r w:rsidRPr="00C421DB">
        <w:rPr>
          <w:rFonts w:ascii="Arial" w:hAnsi="Arial" w:cs="Arial"/>
        </w:rPr>
        <w:t>SEGUNDO TRIBUNAL COLEGIADO EN MATERIA CIVIL DEL SÉPTIMO CIRCUITO.</w:t>
      </w:r>
    </w:p>
    <w:p w:rsidR="00C421DB" w:rsidRPr="00C421DB" w:rsidRDefault="00C421DB" w:rsidP="00C421DB">
      <w:pPr>
        <w:spacing w:after="0" w:line="240" w:lineRule="auto"/>
        <w:jc w:val="both"/>
        <w:rPr>
          <w:rFonts w:ascii="Arial" w:hAnsi="Arial" w:cs="Arial"/>
        </w:rPr>
      </w:pPr>
    </w:p>
    <w:p w:rsidR="00C421DB" w:rsidRPr="00C421DB" w:rsidRDefault="00C421DB" w:rsidP="00C421DB">
      <w:pPr>
        <w:spacing w:after="0" w:line="240" w:lineRule="auto"/>
        <w:jc w:val="both"/>
        <w:rPr>
          <w:rFonts w:ascii="Arial" w:hAnsi="Arial" w:cs="Arial"/>
        </w:rPr>
      </w:pPr>
      <w:r w:rsidRPr="00C421DB">
        <w:rPr>
          <w:rFonts w:ascii="Arial" w:hAnsi="Arial" w:cs="Arial"/>
        </w:rPr>
        <w:t xml:space="preserve">Amparo directo 718/2018. 17 de octubre de 2019. Unanimidad de votos. Ponente: José Manuel De Alba De Alba. Secretaria: Rubí </w:t>
      </w:r>
      <w:proofErr w:type="spellStart"/>
      <w:r w:rsidRPr="00C421DB">
        <w:rPr>
          <w:rFonts w:ascii="Arial" w:hAnsi="Arial" w:cs="Arial"/>
        </w:rPr>
        <w:t>Sindirely</w:t>
      </w:r>
      <w:proofErr w:type="spellEnd"/>
      <w:r w:rsidRPr="00C421DB">
        <w:rPr>
          <w:rFonts w:ascii="Arial" w:hAnsi="Arial" w:cs="Arial"/>
        </w:rPr>
        <w:t xml:space="preserve"> Aguilar </w:t>
      </w:r>
      <w:proofErr w:type="spellStart"/>
      <w:r w:rsidRPr="00C421DB">
        <w:rPr>
          <w:rFonts w:ascii="Arial" w:hAnsi="Arial" w:cs="Arial"/>
        </w:rPr>
        <w:t>Lasserre</w:t>
      </w:r>
      <w:proofErr w:type="spellEnd"/>
      <w:r w:rsidRPr="00C421DB">
        <w:rPr>
          <w:rFonts w:ascii="Arial" w:hAnsi="Arial" w:cs="Arial"/>
        </w:rPr>
        <w:t>.</w:t>
      </w:r>
    </w:p>
    <w:p w:rsidR="00C421DB" w:rsidRPr="00C421DB" w:rsidRDefault="00C421DB" w:rsidP="00C421DB">
      <w:pPr>
        <w:spacing w:after="0" w:line="240" w:lineRule="auto"/>
        <w:jc w:val="both"/>
        <w:rPr>
          <w:rFonts w:ascii="Arial" w:hAnsi="Arial" w:cs="Arial"/>
        </w:rPr>
      </w:pPr>
    </w:p>
    <w:p w:rsidR="008F2858" w:rsidRDefault="008F2858" w:rsidP="00C421DB">
      <w:pPr>
        <w:spacing w:after="0" w:line="240" w:lineRule="auto"/>
        <w:jc w:val="both"/>
        <w:rPr>
          <w:rFonts w:ascii="Arial" w:hAnsi="Arial" w:cs="Arial"/>
        </w:rPr>
      </w:pPr>
    </w:p>
    <w:p w:rsidR="008F2858" w:rsidRPr="008F2858" w:rsidRDefault="00BE1321" w:rsidP="008F2858">
      <w:pPr>
        <w:spacing w:after="0" w:line="240" w:lineRule="auto"/>
        <w:jc w:val="both"/>
        <w:rPr>
          <w:rFonts w:ascii="Arial" w:hAnsi="Arial" w:cs="Arial"/>
        </w:rPr>
      </w:pPr>
      <w:r>
        <w:rPr>
          <w:rFonts w:ascii="Arial" w:hAnsi="Arial" w:cs="Arial"/>
        </w:rPr>
        <w:t>4</w:t>
      </w:r>
      <w:r w:rsidR="00057BB2">
        <w:rPr>
          <w:rFonts w:ascii="Arial" w:hAnsi="Arial" w:cs="Arial"/>
        </w:rPr>
        <w:t xml:space="preserve">. </w:t>
      </w:r>
      <w:r w:rsidR="008F2858" w:rsidRPr="008F2858">
        <w:rPr>
          <w:rFonts w:ascii="Arial" w:hAnsi="Arial" w:cs="Arial"/>
        </w:rPr>
        <w:t xml:space="preserve">Época: Décima Época </w:t>
      </w:r>
    </w:p>
    <w:p w:rsidR="008F2858" w:rsidRPr="008F2858" w:rsidRDefault="008F2858" w:rsidP="008F2858">
      <w:pPr>
        <w:spacing w:after="0" w:line="240" w:lineRule="auto"/>
        <w:jc w:val="both"/>
        <w:rPr>
          <w:rFonts w:ascii="Arial" w:hAnsi="Arial" w:cs="Arial"/>
        </w:rPr>
      </w:pPr>
      <w:r w:rsidRPr="008F2858">
        <w:rPr>
          <w:rFonts w:ascii="Arial" w:hAnsi="Arial" w:cs="Arial"/>
        </w:rPr>
        <w:t xml:space="preserve">Registro: 2021472 </w:t>
      </w:r>
    </w:p>
    <w:p w:rsidR="008F2858" w:rsidRPr="008F2858" w:rsidRDefault="008F2858" w:rsidP="008F2858">
      <w:pPr>
        <w:spacing w:after="0" w:line="240" w:lineRule="auto"/>
        <w:jc w:val="both"/>
        <w:rPr>
          <w:rFonts w:ascii="Arial" w:hAnsi="Arial" w:cs="Arial"/>
        </w:rPr>
      </w:pPr>
      <w:r w:rsidRPr="008F2858">
        <w:rPr>
          <w:rFonts w:ascii="Arial" w:hAnsi="Arial" w:cs="Arial"/>
        </w:rPr>
        <w:t xml:space="preserve">Instancia: Tribunales Colegiados de Circuito </w:t>
      </w:r>
    </w:p>
    <w:p w:rsidR="008F2858" w:rsidRPr="008F2858" w:rsidRDefault="008F2858" w:rsidP="008F2858">
      <w:pPr>
        <w:spacing w:after="0" w:line="240" w:lineRule="auto"/>
        <w:jc w:val="both"/>
        <w:rPr>
          <w:rFonts w:ascii="Arial" w:hAnsi="Arial" w:cs="Arial"/>
        </w:rPr>
      </w:pPr>
      <w:r w:rsidRPr="008F2858">
        <w:rPr>
          <w:rFonts w:ascii="Arial" w:hAnsi="Arial" w:cs="Arial"/>
        </w:rPr>
        <w:t xml:space="preserve">Tipo de Tesis: Aislada </w:t>
      </w:r>
    </w:p>
    <w:p w:rsidR="008F2858" w:rsidRPr="008F2858" w:rsidRDefault="008F2858" w:rsidP="008F2858">
      <w:pPr>
        <w:spacing w:after="0" w:line="240" w:lineRule="auto"/>
        <w:jc w:val="both"/>
        <w:rPr>
          <w:rFonts w:ascii="Arial" w:hAnsi="Arial" w:cs="Arial"/>
        </w:rPr>
      </w:pPr>
      <w:r w:rsidRPr="008F2858">
        <w:rPr>
          <w:rFonts w:ascii="Arial" w:hAnsi="Arial" w:cs="Arial"/>
        </w:rPr>
        <w:t xml:space="preserve">Fuente: Semanario Judicial de la Federación </w:t>
      </w:r>
    </w:p>
    <w:p w:rsidR="008F2858" w:rsidRPr="008F2858" w:rsidRDefault="008F2858" w:rsidP="008F2858">
      <w:pPr>
        <w:spacing w:after="0" w:line="240" w:lineRule="auto"/>
        <w:jc w:val="both"/>
        <w:rPr>
          <w:rFonts w:ascii="Arial" w:hAnsi="Arial" w:cs="Arial"/>
        </w:rPr>
      </w:pPr>
      <w:r w:rsidRPr="008F2858">
        <w:rPr>
          <w:rFonts w:ascii="Arial" w:hAnsi="Arial" w:cs="Arial"/>
        </w:rPr>
        <w:t xml:space="preserve">Publicación: viernes 24 de enero de 2020 10:25 h </w:t>
      </w:r>
    </w:p>
    <w:p w:rsidR="008F2858" w:rsidRPr="008F2858" w:rsidRDefault="008F2858" w:rsidP="008F2858">
      <w:pPr>
        <w:spacing w:after="0" w:line="240" w:lineRule="auto"/>
        <w:jc w:val="both"/>
        <w:rPr>
          <w:rFonts w:ascii="Arial" w:hAnsi="Arial" w:cs="Arial"/>
        </w:rPr>
      </w:pPr>
      <w:r w:rsidRPr="008F2858">
        <w:rPr>
          <w:rFonts w:ascii="Arial" w:hAnsi="Arial" w:cs="Arial"/>
        </w:rPr>
        <w:t xml:space="preserve">Materia(s): (Civil) </w:t>
      </w:r>
    </w:p>
    <w:p w:rsidR="008F2858" w:rsidRPr="008F2858" w:rsidRDefault="008F2858" w:rsidP="008F2858">
      <w:pPr>
        <w:spacing w:after="0" w:line="240" w:lineRule="auto"/>
        <w:jc w:val="both"/>
        <w:rPr>
          <w:rFonts w:ascii="Arial" w:hAnsi="Arial" w:cs="Arial"/>
        </w:rPr>
      </w:pPr>
      <w:r w:rsidRPr="008F2858">
        <w:rPr>
          <w:rFonts w:ascii="Arial" w:hAnsi="Arial" w:cs="Arial"/>
        </w:rPr>
        <w:t xml:space="preserve">Tesis: VII.2o.C.218 C (10a.) </w:t>
      </w:r>
    </w:p>
    <w:p w:rsidR="008F2858" w:rsidRPr="008F2858" w:rsidRDefault="008F2858" w:rsidP="008F2858">
      <w:pPr>
        <w:spacing w:after="0" w:line="240" w:lineRule="auto"/>
        <w:jc w:val="both"/>
        <w:rPr>
          <w:rFonts w:ascii="Arial" w:hAnsi="Arial" w:cs="Arial"/>
        </w:rPr>
      </w:pPr>
    </w:p>
    <w:p w:rsidR="008F2858" w:rsidRPr="00057BB2" w:rsidRDefault="008F2858" w:rsidP="00057BB2">
      <w:pPr>
        <w:pStyle w:val="Ttulo2"/>
        <w:jc w:val="both"/>
        <w:rPr>
          <w:rFonts w:ascii="Arial" w:hAnsi="Arial" w:cs="Arial"/>
          <w:color w:val="B35E06" w:themeColor="accent1" w:themeShade="BF"/>
          <w:sz w:val="26"/>
          <w:szCs w:val="26"/>
        </w:rPr>
      </w:pPr>
      <w:bookmarkStart w:id="5" w:name="_Toc31119908"/>
      <w:r w:rsidRPr="00057BB2">
        <w:rPr>
          <w:rFonts w:ascii="Arial" w:hAnsi="Arial" w:cs="Arial"/>
          <w:color w:val="B35E06" w:themeColor="accent1" w:themeShade="BF"/>
          <w:sz w:val="26"/>
          <w:szCs w:val="26"/>
        </w:rPr>
        <w:t>GUARDA Y CUSTODIA DE UN MENOR DE EDAD. SU OTORGAMIENTO SE BASA EN LA IDONEIDAD DEL PROGENITOR, SIENDO IRRELEVANTE EL TRABAJO QUE ÉSTE DESEMPEÑE.</w:t>
      </w:r>
      <w:bookmarkEnd w:id="5"/>
    </w:p>
    <w:p w:rsidR="008F2858" w:rsidRPr="008F2858" w:rsidRDefault="008F2858" w:rsidP="008F2858">
      <w:pPr>
        <w:spacing w:after="0" w:line="240" w:lineRule="auto"/>
        <w:jc w:val="both"/>
        <w:rPr>
          <w:rFonts w:ascii="Arial" w:hAnsi="Arial" w:cs="Arial"/>
        </w:rPr>
      </w:pPr>
    </w:p>
    <w:p w:rsidR="008F2858" w:rsidRPr="008F2858" w:rsidRDefault="008F2858" w:rsidP="008F2858">
      <w:pPr>
        <w:spacing w:after="0" w:line="240" w:lineRule="auto"/>
        <w:jc w:val="both"/>
        <w:rPr>
          <w:rFonts w:ascii="Arial" w:hAnsi="Arial" w:cs="Arial"/>
        </w:rPr>
      </w:pPr>
      <w:r w:rsidRPr="008F2858">
        <w:rPr>
          <w:rFonts w:ascii="Arial" w:hAnsi="Arial" w:cs="Arial"/>
        </w:rPr>
        <w:t xml:space="preserve">El Protocolo para Juzgar con Perspectiva de Género, emitido por la Suprema Corte de Justicia de la Nación establece que los estereotipos son aquellas características, actitudes y roles que de forma estructural la sociedad atribuye o asigna a las personas. En ese sentido, para establecer que una norma o política pública que no contempla una distinción, restricción o exclusión explícita sí genera un efecto discriminatorio a una persona, es necesario </w:t>
      </w:r>
      <w:r w:rsidRPr="008F2858">
        <w:rPr>
          <w:rFonts w:ascii="Arial" w:hAnsi="Arial" w:cs="Arial"/>
        </w:rPr>
        <w:lastRenderedPageBreak/>
        <w:t>introducir factores contextuales o estructurales en el análisis de la discriminación, entre los que pueden mencionarse, las relaciones de subordinación en torno al género y las prácticas sociales y culturales. Dichos factores pueden condicionar que una ley o política pública aunque se encuentra expresada en términos neutrales, finalmente provoque una diferencia de trato irrazonable o injustificable de acuerdo con la situación que ocupen las personas dentro de la estructura social. Ahora bien, en los juicios familiares cuando un progenitor señale que el otro debe perder la guarda y custodia de su hijo menor de edad, por el solo hecho de su dedicación al trabajo sexual, esa manifestación se basa en un estereotipo de género, el cual concibe a las personas sexo servidoras como inmorales y con poca o nula responsabilidad, lo cual trasciende en las relaciones paterno-filiales, al descuidar las obligaciones con sus hijos. Sin embargo, el punto fundamental a considerar en el otorgamiento de la guarda y custodia es el interés superior del niño con la intención de que éste reciba afecto, cuidados, educación y las condiciones adecuadas para su desarrollo. Ahora bien, la idoneidad de una persona para ejercer la guarda y custodia de un menor de edad debe atender únicamente a la posibilidad de brindarle cuidado y protección, por lo que es irrelevante el trabajo que desempeñe el progenitor custodio. Esto significa que quienes se dediquen a un trabajo sexual deben considerarse en igualdad de condiciones que cualquier otra persona con distinto empleo, y lo que debe ser tomado en cuenta es si la persona cumple con las características, virtudes y cualidades para brindarle al menor de edad, los cuidados y educación que le permitan desarrollarse adecuadamente. Dentro de dichos requisitos esenciales no puede figurar el tipo de trabajo que desempeñe el progenitor, pues esta circunstancia no incide en su idoneidad para brindar a los niños un desarrollo integral. En ese sentido, es insostenible que la prostitución por sí misma implica una afectación al interés superior de los menores.</w:t>
      </w:r>
    </w:p>
    <w:p w:rsidR="008F2858" w:rsidRPr="008F2858" w:rsidRDefault="008F2858" w:rsidP="008F2858">
      <w:pPr>
        <w:spacing w:after="0" w:line="240" w:lineRule="auto"/>
        <w:jc w:val="both"/>
        <w:rPr>
          <w:rFonts w:ascii="Arial" w:hAnsi="Arial" w:cs="Arial"/>
        </w:rPr>
      </w:pPr>
    </w:p>
    <w:p w:rsidR="008F2858" w:rsidRPr="008F2858" w:rsidRDefault="008F2858" w:rsidP="008F2858">
      <w:pPr>
        <w:spacing w:after="0" w:line="240" w:lineRule="auto"/>
        <w:jc w:val="both"/>
        <w:rPr>
          <w:rFonts w:ascii="Arial" w:hAnsi="Arial" w:cs="Arial"/>
        </w:rPr>
      </w:pPr>
      <w:r w:rsidRPr="008F2858">
        <w:rPr>
          <w:rFonts w:ascii="Arial" w:hAnsi="Arial" w:cs="Arial"/>
        </w:rPr>
        <w:t>SEGUNDO TRIBUNAL COLEGIADO EN MATERIA CIVIL DEL SÉPTIMO CIRCUITO.</w:t>
      </w:r>
    </w:p>
    <w:p w:rsidR="008F2858" w:rsidRPr="008F2858" w:rsidRDefault="008F2858" w:rsidP="008F2858">
      <w:pPr>
        <w:spacing w:after="0" w:line="240" w:lineRule="auto"/>
        <w:jc w:val="both"/>
        <w:rPr>
          <w:rFonts w:ascii="Arial" w:hAnsi="Arial" w:cs="Arial"/>
        </w:rPr>
      </w:pPr>
    </w:p>
    <w:p w:rsidR="008F2858" w:rsidRPr="008F2858" w:rsidRDefault="008F2858" w:rsidP="008F2858">
      <w:pPr>
        <w:spacing w:after="0" w:line="240" w:lineRule="auto"/>
        <w:jc w:val="both"/>
        <w:rPr>
          <w:rFonts w:ascii="Arial" w:hAnsi="Arial" w:cs="Arial"/>
        </w:rPr>
      </w:pPr>
      <w:r w:rsidRPr="008F2858">
        <w:rPr>
          <w:rFonts w:ascii="Arial" w:hAnsi="Arial" w:cs="Arial"/>
        </w:rPr>
        <w:t xml:space="preserve">Amparo directo 718/2018. 17 de octubre de 2019. Unanimidad de votos. Ponente: José Manuel De Alba De Alba. Secretaria: Rubí </w:t>
      </w:r>
      <w:proofErr w:type="spellStart"/>
      <w:r w:rsidRPr="008F2858">
        <w:rPr>
          <w:rFonts w:ascii="Arial" w:hAnsi="Arial" w:cs="Arial"/>
        </w:rPr>
        <w:t>Sindirely</w:t>
      </w:r>
      <w:proofErr w:type="spellEnd"/>
      <w:r w:rsidRPr="008F2858">
        <w:rPr>
          <w:rFonts w:ascii="Arial" w:hAnsi="Arial" w:cs="Arial"/>
        </w:rPr>
        <w:t xml:space="preserve"> Aguilar </w:t>
      </w:r>
      <w:proofErr w:type="spellStart"/>
      <w:r w:rsidRPr="008F2858">
        <w:rPr>
          <w:rFonts w:ascii="Arial" w:hAnsi="Arial" w:cs="Arial"/>
        </w:rPr>
        <w:t>Lasserre</w:t>
      </w:r>
      <w:proofErr w:type="spellEnd"/>
      <w:r w:rsidRPr="008F2858">
        <w:rPr>
          <w:rFonts w:ascii="Arial" w:hAnsi="Arial" w:cs="Arial"/>
        </w:rPr>
        <w:t>.</w:t>
      </w:r>
    </w:p>
    <w:p w:rsidR="008F2858" w:rsidRPr="008F2858" w:rsidRDefault="008F2858" w:rsidP="008F2858">
      <w:pPr>
        <w:spacing w:after="0" w:line="240" w:lineRule="auto"/>
        <w:jc w:val="both"/>
        <w:rPr>
          <w:rFonts w:ascii="Arial" w:hAnsi="Arial" w:cs="Arial"/>
        </w:rPr>
      </w:pPr>
    </w:p>
    <w:p w:rsidR="008F2858" w:rsidRDefault="008F2858" w:rsidP="00C421DB">
      <w:pPr>
        <w:spacing w:after="0" w:line="240" w:lineRule="auto"/>
        <w:jc w:val="both"/>
        <w:rPr>
          <w:rFonts w:ascii="Arial" w:hAnsi="Arial" w:cs="Arial"/>
        </w:rPr>
      </w:pPr>
    </w:p>
    <w:p w:rsidR="00FA3022" w:rsidRPr="00FA3022" w:rsidRDefault="00BE1321" w:rsidP="00FA3022">
      <w:pPr>
        <w:spacing w:after="0" w:line="240" w:lineRule="auto"/>
        <w:jc w:val="both"/>
        <w:rPr>
          <w:rFonts w:ascii="Arial" w:hAnsi="Arial" w:cs="Arial"/>
        </w:rPr>
      </w:pPr>
      <w:r>
        <w:rPr>
          <w:rFonts w:ascii="Arial" w:hAnsi="Arial" w:cs="Arial"/>
        </w:rPr>
        <w:t>5</w:t>
      </w:r>
      <w:r w:rsidR="00057BB2">
        <w:rPr>
          <w:rFonts w:ascii="Arial" w:hAnsi="Arial" w:cs="Arial"/>
        </w:rPr>
        <w:t xml:space="preserve">. </w:t>
      </w:r>
      <w:r w:rsidR="00FA3022" w:rsidRPr="00FA3022">
        <w:rPr>
          <w:rFonts w:ascii="Arial" w:hAnsi="Arial" w:cs="Arial"/>
        </w:rPr>
        <w:t xml:space="preserve">Época: Décima Época </w:t>
      </w:r>
    </w:p>
    <w:p w:rsidR="00FA3022" w:rsidRPr="00FA3022" w:rsidRDefault="00FA3022" w:rsidP="00FA3022">
      <w:pPr>
        <w:spacing w:after="0" w:line="240" w:lineRule="auto"/>
        <w:jc w:val="both"/>
        <w:rPr>
          <w:rFonts w:ascii="Arial" w:hAnsi="Arial" w:cs="Arial"/>
        </w:rPr>
      </w:pPr>
      <w:r w:rsidRPr="00FA3022">
        <w:rPr>
          <w:rFonts w:ascii="Arial" w:hAnsi="Arial" w:cs="Arial"/>
        </w:rPr>
        <w:t xml:space="preserve">Registro: 2021471 </w:t>
      </w:r>
    </w:p>
    <w:p w:rsidR="00FA3022" w:rsidRPr="00FA3022" w:rsidRDefault="00FA3022" w:rsidP="00FA3022">
      <w:pPr>
        <w:spacing w:after="0" w:line="240" w:lineRule="auto"/>
        <w:jc w:val="both"/>
        <w:rPr>
          <w:rFonts w:ascii="Arial" w:hAnsi="Arial" w:cs="Arial"/>
        </w:rPr>
      </w:pPr>
      <w:r w:rsidRPr="00FA3022">
        <w:rPr>
          <w:rFonts w:ascii="Arial" w:hAnsi="Arial" w:cs="Arial"/>
        </w:rPr>
        <w:t xml:space="preserve">Instancia: Tribunales Colegiados de Circuito </w:t>
      </w:r>
    </w:p>
    <w:p w:rsidR="00FA3022" w:rsidRPr="00FA3022" w:rsidRDefault="00FA3022" w:rsidP="00FA3022">
      <w:pPr>
        <w:spacing w:after="0" w:line="240" w:lineRule="auto"/>
        <w:jc w:val="both"/>
        <w:rPr>
          <w:rFonts w:ascii="Arial" w:hAnsi="Arial" w:cs="Arial"/>
        </w:rPr>
      </w:pPr>
      <w:r w:rsidRPr="00FA3022">
        <w:rPr>
          <w:rFonts w:ascii="Arial" w:hAnsi="Arial" w:cs="Arial"/>
        </w:rPr>
        <w:t xml:space="preserve">Tipo de Tesis: Aislada </w:t>
      </w:r>
    </w:p>
    <w:p w:rsidR="00FA3022" w:rsidRPr="00FA3022" w:rsidRDefault="00FA3022" w:rsidP="00FA3022">
      <w:pPr>
        <w:spacing w:after="0" w:line="240" w:lineRule="auto"/>
        <w:jc w:val="both"/>
        <w:rPr>
          <w:rFonts w:ascii="Arial" w:hAnsi="Arial" w:cs="Arial"/>
        </w:rPr>
      </w:pPr>
      <w:r w:rsidRPr="00FA3022">
        <w:rPr>
          <w:rFonts w:ascii="Arial" w:hAnsi="Arial" w:cs="Arial"/>
        </w:rPr>
        <w:t xml:space="preserve">Fuente: Semanario Judicial de la Federación </w:t>
      </w:r>
    </w:p>
    <w:p w:rsidR="00FA3022" w:rsidRPr="00FA3022" w:rsidRDefault="00FA3022" w:rsidP="00FA3022">
      <w:pPr>
        <w:spacing w:after="0" w:line="240" w:lineRule="auto"/>
        <w:jc w:val="both"/>
        <w:rPr>
          <w:rFonts w:ascii="Arial" w:hAnsi="Arial" w:cs="Arial"/>
        </w:rPr>
      </w:pPr>
      <w:r w:rsidRPr="00FA3022">
        <w:rPr>
          <w:rFonts w:ascii="Arial" w:hAnsi="Arial" w:cs="Arial"/>
        </w:rPr>
        <w:t xml:space="preserve">Publicación: viernes 24 de enero de 2020 10:25 h </w:t>
      </w:r>
    </w:p>
    <w:p w:rsidR="00FA3022" w:rsidRPr="00FA3022" w:rsidRDefault="00FA3022" w:rsidP="00FA3022">
      <w:pPr>
        <w:spacing w:after="0" w:line="240" w:lineRule="auto"/>
        <w:jc w:val="both"/>
        <w:rPr>
          <w:rFonts w:ascii="Arial" w:hAnsi="Arial" w:cs="Arial"/>
        </w:rPr>
      </w:pPr>
      <w:r w:rsidRPr="00FA3022">
        <w:rPr>
          <w:rFonts w:ascii="Arial" w:hAnsi="Arial" w:cs="Arial"/>
        </w:rPr>
        <w:lastRenderedPageBreak/>
        <w:t xml:space="preserve">Materia(s): (Constitucional, Civil) </w:t>
      </w:r>
    </w:p>
    <w:p w:rsidR="00FA3022" w:rsidRPr="00FA3022" w:rsidRDefault="00FA3022" w:rsidP="00FA3022">
      <w:pPr>
        <w:spacing w:after="0" w:line="240" w:lineRule="auto"/>
        <w:jc w:val="both"/>
        <w:rPr>
          <w:rFonts w:ascii="Arial" w:hAnsi="Arial" w:cs="Arial"/>
        </w:rPr>
      </w:pPr>
      <w:r w:rsidRPr="00FA3022">
        <w:rPr>
          <w:rFonts w:ascii="Arial" w:hAnsi="Arial" w:cs="Arial"/>
        </w:rPr>
        <w:t xml:space="preserve">Tesis: VII.2o.C.217 C (10a.) </w:t>
      </w:r>
    </w:p>
    <w:p w:rsidR="00FA3022" w:rsidRPr="00FA3022" w:rsidRDefault="00FA3022" w:rsidP="00FA3022">
      <w:pPr>
        <w:spacing w:after="0" w:line="240" w:lineRule="auto"/>
        <w:jc w:val="both"/>
        <w:rPr>
          <w:rFonts w:ascii="Arial" w:hAnsi="Arial" w:cs="Arial"/>
        </w:rPr>
      </w:pPr>
    </w:p>
    <w:p w:rsidR="00FA3022" w:rsidRPr="00057BB2" w:rsidRDefault="00FA3022" w:rsidP="00057BB2">
      <w:pPr>
        <w:pStyle w:val="Ttulo2"/>
        <w:jc w:val="both"/>
        <w:rPr>
          <w:rFonts w:ascii="Arial" w:hAnsi="Arial" w:cs="Arial"/>
          <w:color w:val="B35E06" w:themeColor="accent1" w:themeShade="BF"/>
          <w:sz w:val="26"/>
          <w:szCs w:val="26"/>
        </w:rPr>
      </w:pPr>
      <w:bookmarkStart w:id="6" w:name="_Toc31119909"/>
      <w:r w:rsidRPr="00057BB2">
        <w:rPr>
          <w:rFonts w:ascii="Arial" w:hAnsi="Arial" w:cs="Arial"/>
          <w:color w:val="B35E06" w:themeColor="accent1" w:themeShade="BF"/>
          <w:sz w:val="26"/>
          <w:szCs w:val="26"/>
        </w:rPr>
        <w:t>GUARDA Y CUSTODIA DE UN MENOR DE EDAD. LA EXCLUSIÓN DE UNO DE LOS PROGENITORES PARA EJERCERLA, POR EL SOLO HECHO DE DEDICARSE A UN TRABAJO SEXUAL, VIOLA LOS PRINCIPIOS DE IGUALDAD Y NO DISCRIMINACIÓN.</w:t>
      </w:r>
      <w:bookmarkEnd w:id="6"/>
    </w:p>
    <w:p w:rsidR="00FA3022" w:rsidRPr="00FA3022" w:rsidRDefault="00FA3022" w:rsidP="00FA3022">
      <w:pPr>
        <w:spacing w:after="0" w:line="240" w:lineRule="auto"/>
        <w:jc w:val="both"/>
        <w:rPr>
          <w:rFonts w:ascii="Arial" w:hAnsi="Arial" w:cs="Arial"/>
        </w:rPr>
      </w:pPr>
    </w:p>
    <w:p w:rsidR="00FA3022" w:rsidRPr="00FA3022" w:rsidRDefault="00FA3022" w:rsidP="00FA3022">
      <w:pPr>
        <w:spacing w:after="0" w:line="240" w:lineRule="auto"/>
        <w:jc w:val="both"/>
        <w:rPr>
          <w:rFonts w:ascii="Arial" w:hAnsi="Arial" w:cs="Arial"/>
        </w:rPr>
      </w:pPr>
      <w:r w:rsidRPr="00FA3022">
        <w:rPr>
          <w:rFonts w:ascii="Arial" w:hAnsi="Arial" w:cs="Arial"/>
        </w:rPr>
        <w:t>El tipo de trabajo de los padres de un menor de edad es irrelevante para el otorgamiento de la guarda y custodia, pues para ello únicamente debe atenderse a la idoneidad del progenitor respecto a que proporcione al menor los cuidados y la protección necesarios. Así, la exclusión de uno de los progenitores por desempeñar un trabajo sexual, para ejercer la custodia, vulnera los principios constitucionales de igualdad y no discriminación, pues es insostenible que el comercio sexual, por sí mismo, implique una afectación al interés superior de los menores.</w:t>
      </w:r>
    </w:p>
    <w:p w:rsidR="00FA3022" w:rsidRPr="00FA3022" w:rsidRDefault="00FA3022" w:rsidP="00FA3022">
      <w:pPr>
        <w:spacing w:after="0" w:line="240" w:lineRule="auto"/>
        <w:jc w:val="both"/>
        <w:rPr>
          <w:rFonts w:ascii="Arial" w:hAnsi="Arial" w:cs="Arial"/>
        </w:rPr>
      </w:pPr>
    </w:p>
    <w:p w:rsidR="00FA3022" w:rsidRPr="00FA3022" w:rsidRDefault="00FA3022" w:rsidP="00FA3022">
      <w:pPr>
        <w:spacing w:after="0" w:line="240" w:lineRule="auto"/>
        <w:jc w:val="both"/>
        <w:rPr>
          <w:rFonts w:ascii="Arial" w:hAnsi="Arial" w:cs="Arial"/>
        </w:rPr>
      </w:pPr>
      <w:r w:rsidRPr="00FA3022">
        <w:rPr>
          <w:rFonts w:ascii="Arial" w:hAnsi="Arial" w:cs="Arial"/>
        </w:rPr>
        <w:t>SEGUNDO TRIBUNAL COLEGIADO EN MATERIA CIVIL DEL SÉPTIMO CIRCUITO.</w:t>
      </w:r>
    </w:p>
    <w:p w:rsidR="00FA3022" w:rsidRPr="00FA3022" w:rsidRDefault="00FA3022" w:rsidP="00FA3022">
      <w:pPr>
        <w:spacing w:after="0" w:line="240" w:lineRule="auto"/>
        <w:jc w:val="both"/>
        <w:rPr>
          <w:rFonts w:ascii="Arial" w:hAnsi="Arial" w:cs="Arial"/>
        </w:rPr>
      </w:pPr>
    </w:p>
    <w:p w:rsidR="00FA3022" w:rsidRPr="00FA3022" w:rsidRDefault="00FA3022" w:rsidP="00FA3022">
      <w:pPr>
        <w:spacing w:after="0" w:line="240" w:lineRule="auto"/>
        <w:jc w:val="both"/>
        <w:rPr>
          <w:rFonts w:ascii="Arial" w:hAnsi="Arial" w:cs="Arial"/>
        </w:rPr>
      </w:pPr>
      <w:r w:rsidRPr="00FA3022">
        <w:rPr>
          <w:rFonts w:ascii="Arial" w:hAnsi="Arial" w:cs="Arial"/>
        </w:rPr>
        <w:t xml:space="preserve">Amparo directo 718/2018. 17 de octubre de 2019. Unanimidad de votos. Ponente: José Manuel De Alba De Alba. Secretaria: Rubí </w:t>
      </w:r>
      <w:proofErr w:type="spellStart"/>
      <w:r w:rsidRPr="00FA3022">
        <w:rPr>
          <w:rFonts w:ascii="Arial" w:hAnsi="Arial" w:cs="Arial"/>
        </w:rPr>
        <w:t>Sindirely</w:t>
      </w:r>
      <w:proofErr w:type="spellEnd"/>
      <w:r w:rsidRPr="00FA3022">
        <w:rPr>
          <w:rFonts w:ascii="Arial" w:hAnsi="Arial" w:cs="Arial"/>
        </w:rPr>
        <w:t xml:space="preserve"> Aguilar </w:t>
      </w:r>
      <w:proofErr w:type="spellStart"/>
      <w:r w:rsidRPr="00FA3022">
        <w:rPr>
          <w:rFonts w:ascii="Arial" w:hAnsi="Arial" w:cs="Arial"/>
        </w:rPr>
        <w:t>Lasserre</w:t>
      </w:r>
      <w:proofErr w:type="spellEnd"/>
      <w:r w:rsidRPr="00FA3022">
        <w:rPr>
          <w:rFonts w:ascii="Arial" w:hAnsi="Arial" w:cs="Arial"/>
        </w:rPr>
        <w:t>.</w:t>
      </w:r>
    </w:p>
    <w:p w:rsidR="00FA3022" w:rsidRDefault="00FA3022" w:rsidP="00C421DB">
      <w:pPr>
        <w:spacing w:after="0" w:line="240" w:lineRule="auto"/>
        <w:jc w:val="both"/>
        <w:rPr>
          <w:rFonts w:ascii="Arial" w:hAnsi="Arial" w:cs="Arial"/>
        </w:rPr>
      </w:pPr>
    </w:p>
    <w:p w:rsidR="00705CA0" w:rsidRDefault="00705CA0" w:rsidP="00C421DB">
      <w:pPr>
        <w:spacing w:after="0" w:line="240" w:lineRule="auto"/>
        <w:jc w:val="both"/>
        <w:rPr>
          <w:rFonts w:ascii="Arial" w:hAnsi="Arial" w:cs="Arial"/>
        </w:rPr>
      </w:pPr>
    </w:p>
    <w:p w:rsidR="00705CA0" w:rsidRPr="00705CA0" w:rsidRDefault="00BE1321" w:rsidP="00705CA0">
      <w:pPr>
        <w:spacing w:after="0" w:line="240" w:lineRule="auto"/>
        <w:jc w:val="both"/>
        <w:rPr>
          <w:rFonts w:ascii="Arial" w:hAnsi="Arial" w:cs="Arial"/>
        </w:rPr>
      </w:pPr>
      <w:r>
        <w:rPr>
          <w:rFonts w:ascii="Arial" w:hAnsi="Arial" w:cs="Arial"/>
        </w:rPr>
        <w:t>6</w:t>
      </w:r>
      <w:r w:rsidR="00057BB2">
        <w:rPr>
          <w:rFonts w:ascii="Arial" w:hAnsi="Arial" w:cs="Arial"/>
        </w:rPr>
        <w:t xml:space="preserve">. </w:t>
      </w:r>
      <w:r w:rsidR="00705CA0" w:rsidRPr="00705CA0">
        <w:rPr>
          <w:rFonts w:ascii="Arial" w:hAnsi="Arial" w:cs="Arial"/>
        </w:rPr>
        <w:t xml:space="preserve">Época: Décima Época </w:t>
      </w:r>
    </w:p>
    <w:p w:rsidR="00705CA0" w:rsidRPr="00705CA0" w:rsidRDefault="00705CA0" w:rsidP="00705CA0">
      <w:pPr>
        <w:spacing w:after="0" w:line="240" w:lineRule="auto"/>
        <w:jc w:val="both"/>
        <w:rPr>
          <w:rFonts w:ascii="Arial" w:hAnsi="Arial" w:cs="Arial"/>
        </w:rPr>
      </w:pPr>
      <w:r w:rsidRPr="00705CA0">
        <w:rPr>
          <w:rFonts w:ascii="Arial" w:hAnsi="Arial" w:cs="Arial"/>
        </w:rPr>
        <w:t xml:space="preserve">Registro: 2021470 </w:t>
      </w:r>
    </w:p>
    <w:p w:rsidR="00705CA0" w:rsidRPr="00705CA0" w:rsidRDefault="00705CA0" w:rsidP="00705CA0">
      <w:pPr>
        <w:spacing w:after="0" w:line="240" w:lineRule="auto"/>
        <w:jc w:val="both"/>
        <w:rPr>
          <w:rFonts w:ascii="Arial" w:hAnsi="Arial" w:cs="Arial"/>
        </w:rPr>
      </w:pPr>
      <w:r w:rsidRPr="00705CA0">
        <w:rPr>
          <w:rFonts w:ascii="Arial" w:hAnsi="Arial" w:cs="Arial"/>
        </w:rPr>
        <w:t xml:space="preserve">Instancia: Tribunales Colegiados de Circuito </w:t>
      </w:r>
    </w:p>
    <w:p w:rsidR="00705CA0" w:rsidRPr="00705CA0" w:rsidRDefault="00705CA0" w:rsidP="00705CA0">
      <w:pPr>
        <w:spacing w:after="0" w:line="240" w:lineRule="auto"/>
        <w:jc w:val="both"/>
        <w:rPr>
          <w:rFonts w:ascii="Arial" w:hAnsi="Arial" w:cs="Arial"/>
        </w:rPr>
      </w:pPr>
      <w:r w:rsidRPr="00705CA0">
        <w:rPr>
          <w:rFonts w:ascii="Arial" w:hAnsi="Arial" w:cs="Arial"/>
        </w:rPr>
        <w:t xml:space="preserve">Tipo de Tesis: Aislada </w:t>
      </w:r>
    </w:p>
    <w:p w:rsidR="00705CA0" w:rsidRPr="00705CA0" w:rsidRDefault="00705CA0" w:rsidP="00705CA0">
      <w:pPr>
        <w:spacing w:after="0" w:line="240" w:lineRule="auto"/>
        <w:jc w:val="both"/>
        <w:rPr>
          <w:rFonts w:ascii="Arial" w:hAnsi="Arial" w:cs="Arial"/>
        </w:rPr>
      </w:pPr>
      <w:r w:rsidRPr="00705CA0">
        <w:rPr>
          <w:rFonts w:ascii="Arial" w:hAnsi="Arial" w:cs="Arial"/>
        </w:rPr>
        <w:t xml:space="preserve">Fuente: Semanario Judicial de la Federación </w:t>
      </w:r>
    </w:p>
    <w:p w:rsidR="00705CA0" w:rsidRPr="00705CA0" w:rsidRDefault="00705CA0" w:rsidP="00705CA0">
      <w:pPr>
        <w:spacing w:after="0" w:line="240" w:lineRule="auto"/>
        <w:jc w:val="both"/>
        <w:rPr>
          <w:rFonts w:ascii="Arial" w:hAnsi="Arial" w:cs="Arial"/>
        </w:rPr>
      </w:pPr>
      <w:r w:rsidRPr="00705CA0">
        <w:rPr>
          <w:rFonts w:ascii="Arial" w:hAnsi="Arial" w:cs="Arial"/>
        </w:rPr>
        <w:t xml:space="preserve">Publicación: viernes 24 de enero de 2020 10:25 h </w:t>
      </w:r>
    </w:p>
    <w:p w:rsidR="00705CA0" w:rsidRPr="00705CA0" w:rsidRDefault="00705CA0" w:rsidP="00705CA0">
      <w:pPr>
        <w:spacing w:after="0" w:line="240" w:lineRule="auto"/>
        <w:jc w:val="both"/>
        <w:rPr>
          <w:rFonts w:ascii="Arial" w:hAnsi="Arial" w:cs="Arial"/>
        </w:rPr>
      </w:pPr>
      <w:r w:rsidRPr="00705CA0">
        <w:rPr>
          <w:rFonts w:ascii="Arial" w:hAnsi="Arial" w:cs="Arial"/>
        </w:rPr>
        <w:t xml:space="preserve">Materia(s): (Civil) </w:t>
      </w:r>
    </w:p>
    <w:p w:rsidR="00705CA0" w:rsidRPr="00705CA0" w:rsidRDefault="00705CA0" w:rsidP="00705CA0">
      <w:pPr>
        <w:spacing w:after="0" w:line="240" w:lineRule="auto"/>
        <w:jc w:val="both"/>
        <w:rPr>
          <w:rFonts w:ascii="Arial" w:hAnsi="Arial" w:cs="Arial"/>
        </w:rPr>
      </w:pPr>
      <w:r w:rsidRPr="00705CA0">
        <w:rPr>
          <w:rFonts w:ascii="Arial" w:hAnsi="Arial" w:cs="Arial"/>
        </w:rPr>
        <w:t xml:space="preserve">Tesis: VII.2o.C.216 C (10a.) </w:t>
      </w:r>
    </w:p>
    <w:p w:rsidR="00705CA0" w:rsidRPr="00705CA0" w:rsidRDefault="00705CA0" w:rsidP="00705CA0">
      <w:pPr>
        <w:spacing w:after="0" w:line="240" w:lineRule="auto"/>
        <w:jc w:val="both"/>
        <w:rPr>
          <w:rFonts w:ascii="Arial" w:hAnsi="Arial" w:cs="Arial"/>
        </w:rPr>
      </w:pPr>
    </w:p>
    <w:p w:rsidR="00705CA0" w:rsidRPr="00057BB2" w:rsidRDefault="00705CA0" w:rsidP="00057BB2">
      <w:pPr>
        <w:pStyle w:val="Ttulo2"/>
        <w:jc w:val="both"/>
        <w:rPr>
          <w:rFonts w:ascii="Arial" w:hAnsi="Arial" w:cs="Arial"/>
          <w:color w:val="B35E06" w:themeColor="accent1" w:themeShade="BF"/>
          <w:sz w:val="26"/>
          <w:szCs w:val="26"/>
        </w:rPr>
      </w:pPr>
      <w:bookmarkStart w:id="7" w:name="_Toc31119910"/>
      <w:r w:rsidRPr="00057BB2">
        <w:rPr>
          <w:rFonts w:ascii="Arial" w:hAnsi="Arial" w:cs="Arial"/>
          <w:color w:val="B35E06" w:themeColor="accent1" w:themeShade="BF"/>
          <w:sz w:val="26"/>
          <w:szCs w:val="26"/>
        </w:rPr>
        <w:lastRenderedPageBreak/>
        <w:t>GUARDA Y CUSTODIA DE UN MENOR DE EDAD. ES INADMISIBLE OTORGARLA POR LA POSIBLE DISCRIMINACIÓN QUE PUEDA SUFRIR ÉSTE POR LA ACTIVIDAD LABORAL DE SU MADRE.</w:t>
      </w:r>
      <w:bookmarkEnd w:id="7"/>
    </w:p>
    <w:p w:rsidR="00705CA0" w:rsidRPr="00705CA0" w:rsidRDefault="00705CA0" w:rsidP="00705CA0">
      <w:pPr>
        <w:spacing w:after="0" w:line="240" w:lineRule="auto"/>
        <w:jc w:val="both"/>
        <w:rPr>
          <w:rFonts w:ascii="Arial" w:hAnsi="Arial" w:cs="Arial"/>
        </w:rPr>
      </w:pPr>
    </w:p>
    <w:p w:rsidR="00705CA0" w:rsidRPr="00705CA0" w:rsidRDefault="00705CA0" w:rsidP="00705CA0">
      <w:pPr>
        <w:spacing w:after="0" w:line="240" w:lineRule="auto"/>
        <w:jc w:val="both"/>
        <w:rPr>
          <w:rFonts w:ascii="Arial" w:hAnsi="Arial" w:cs="Arial"/>
        </w:rPr>
      </w:pPr>
      <w:r w:rsidRPr="00705CA0">
        <w:rPr>
          <w:rFonts w:ascii="Arial" w:hAnsi="Arial" w:cs="Arial"/>
        </w:rPr>
        <w:t xml:space="preserve">La Corte Interamericana de Derechos Humanos en el caso </w:t>
      </w:r>
      <w:proofErr w:type="spellStart"/>
      <w:r w:rsidRPr="00705CA0">
        <w:rPr>
          <w:rFonts w:ascii="Arial" w:hAnsi="Arial" w:cs="Arial"/>
        </w:rPr>
        <w:t>Atala</w:t>
      </w:r>
      <w:proofErr w:type="spellEnd"/>
      <w:r w:rsidRPr="00705CA0">
        <w:rPr>
          <w:rFonts w:ascii="Arial" w:hAnsi="Arial" w:cs="Arial"/>
        </w:rPr>
        <w:t xml:space="preserve"> </w:t>
      </w:r>
      <w:proofErr w:type="spellStart"/>
      <w:r w:rsidRPr="00705CA0">
        <w:rPr>
          <w:rFonts w:ascii="Arial" w:hAnsi="Arial" w:cs="Arial"/>
        </w:rPr>
        <w:t>Riffo</w:t>
      </w:r>
      <w:proofErr w:type="spellEnd"/>
      <w:r w:rsidRPr="00705CA0">
        <w:rPr>
          <w:rFonts w:ascii="Arial" w:hAnsi="Arial" w:cs="Arial"/>
        </w:rPr>
        <w:t xml:space="preserve"> y Niñas Vs. Chile, consideró que para justificar una diferencia de trato y restricción de un derecho, no puede servir de sustento jurídico la alegada posibilidad de discriminación social, probada o no, a la que se podrían enfrentar los menores de edad por condiciones de la madre o el padre. Por lo que si bien es cierto que algunas sociedades pueden ser intolerantes a condiciones como la raza, el sexo, la nacionalidad o la orientación sexual de una persona, también lo es que los Estados no pueden utilizar esto como justificación para perpetuar tratos discriminatorios. Los Estados están internacionalmente obligados a adoptar las medidas que fueren necesarias "para hacer efectivos" los derechos establecidos en la Convención Americana sobre Derechos Humanos, como se ordena en el artículo 2 de dicho instrumento, por lo que deben propender, precisamente, por enfrentar las manifestaciones intolerantes y discriminatorias, con el fin de evitar la exclusión o negación de una determinada condición. El tribunal interamericano constató que en el marco de las sociedades contemporáneas se dan cambios sociales, culturales e institucionales encaminados a desarrollos más incluyentes de todas las opciones de vida de sus ciudadanos, lo cual se evidencia en la aceptación social de parejas interraciales, las madres o padres solteros o las parejas divorciadas, las cuales en otros momentos no habían sido aceptadas por la sociedad. En este sentido, el derecho y los Estados deben ayudar al avance social, de lo contrario se corre el grave riesgo de legitimar y consolidar distintas formas de discriminación violatorias de los derechos humanos. Por otro lado, en cuanto al argumento de que el principio del interés superior del niño puede verse afectado por el riesgo de un rechazo por la sociedad, la Corte Interamericana estimó que un posible estigma social debido a la orientación sexual de la madre o el padre no puede considerarse un "daño" válido a los efectos de la determinación del interés superior del niño. Si los Jueces que analizan este tipo de casos constatan la existencia de discriminación social es totalmente inadmisible legitimar esa discriminación con el argumento de proteger el interés superior del menor de edad. En este caso, la Corte resaltó que, además, la señora </w:t>
      </w:r>
      <w:proofErr w:type="spellStart"/>
      <w:r w:rsidRPr="00705CA0">
        <w:rPr>
          <w:rFonts w:ascii="Arial" w:hAnsi="Arial" w:cs="Arial"/>
        </w:rPr>
        <w:t>Atala</w:t>
      </w:r>
      <w:proofErr w:type="spellEnd"/>
      <w:r w:rsidRPr="00705CA0">
        <w:rPr>
          <w:rFonts w:ascii="Arial" w:hAnsi="Arial" w:cs="Arial"/>
        </w:rPr>
        <w:t xml:space="preserve"> </w:t>
      </w:r>
      <w:proofErr w:type="spellStart"/>
      <w:r w:rsidRPr="00705CA0">
        <w:rPr>
          <w:rFonts w:ascii="Arial" w:hAnsi="Arial" w:cs="Arial"/>
        </w:rPr>
        <w:t>Riffo</w:t>
      </w:r>
      <w:proofErr w:type="spellEnd"/>
      <w:r w:rsidRPr="00705CA0">
        <w:rPr>
          <w:rFonts w:ascii="Arial" w:hAnsi="Arial" w:cs="Arial"/>
        </w:rPr>
        <w:t xml:space="preserve"> no tenía por qué sufrir las consecuencias de que en su comunidad presuntamente las niñas podrían haber sido discriminadas debido a su orientación sexual. Por tanto, concluyó que el argumento de la posible discriminación social no era adecuado para cumplir con la finalidad declarada de proteger el interés superior de las niñas. Con base en lo anterior, para el otorgamiento de la guarda y custodia de un menor de edad, no pueden ser </w:t>
      </w:r>
      <w:r w:rsidRPr="00705CA0">
        <w:rPr>
          <w:rFonts w:ascii="Arial" w:hAnsi="Arial" w:cs="Arial"/>
        </w:rPr>
        <w:lastRenderedPageBreak/>
        <w:t>utilizados los argumentos del padre en los que alega que su hijo puede sufrir discriminación por la actividad laboral de su madre.</w:t>
      </w:r>
    </w:p>
    <w:p w:rsidR="00705CA0" w:rsidRPr="00705CA0" w:rsidRDefault="00705CA0" w:rsidP="00705CA0">
      <w:pPr>
        <w:spacing w:after="0" w:line="240" w:lineRule="auto"/>
        <w:jc w:val="both"/>
        <w:rPr>
          <w:rFonts w:ascii="Arial" w:hAnsi="Arial" w:cs="Arial"/>
        </w:rPr>
      </w:pPr>
    </w:p>
    <w:p w:rsidR="00705CA0" w:rsidRPr="00705CA0" w:rsidRDefault="00705CA0" w:rsidP="00705CA0">
      <w:pPr>
        <w:spacing w:after="0" w:line="240" w:lineRule="auto"/>
        <w:jc w:val="both"/>
        <w:rPr>
          <w:rFonts w:ascii="Arial" w:hAnsi="Arial" w:cs="Arial"/>
        </w:rPr>
      </w:pPr>
      <w:r w:rsidRPr="00705CA0">
        <w:rPr>
          <w:rFonts w:ascii="Arial" w:hAnsi="Arial" w:cs="Arial"/>
        </w:rPr>
        <w:t>SEGUNDO TRIBUNAL COLEGIADO EN MATERIA CIVIL DEL SÉPTIMO CIRCUITO.</w:t>
      </w:r>
    </w:p>
    <w:p w:rsidR="00705CA0" w:rsidRPr="00705CA0" w:rsidRDefault="00705CA0" w:rsidP="00705CA0">
      <w:pPr>
        <w:spacing w:after="0" w:line="240" w:lineRule="auto"/>
        <w:jc w:val="both"/>
        <w:rPr>
          <w:rFonts w:ascii="Arial" w:hAnsi="Arial" w:cs="Arial"/>
        </w:rPr>
      </w:pPr>
    </w:p>
    <w:p w:rsidR="00705CA0" w:rsidRPr="00705CA0" w:rsidRDefault="00705CA0" w:rsidP="00705CA0">
      <w:pPr>
        <w:spacing w:after="0" w:line="240" w:lineRule="auto"/>
        <w:jc w:val="both"/>
        <w:rPr>
          <w:rFonts w:ascii="Arial" w:hAnsi="Arial" w:cs="Arial"/>
        </w:rPr>
      </w:pPr>
      <w:r w:rsidRPr="00705CA0">
        <w:rPr>
          <w:rFonts w:ascii="Arial" w:hAnsi="Arial" w:cs="Arial"/>
        </w:rPr>
        <w:t xml:space="preserve">Amparo directo 718/2018. 17 de octubre de 2019. Unanimidad de votos. Ponente: José Manuel De Alba De Alba. Secretaria: Rubí </w:t>
      </w:r>
      <w:proofErr w:type="spellStart"/>
      <w:r w:rsidRPr="00705CA0">
        <w:rPr>
          <w:rFonts w:ascii="Arial" w:hAnsi="Arial" w:cs="Arial"/>
        </w:rPr>
        <w:t>Sindirely</w:t>
      </w:r>
      <w:proofErr w:type="spellEnd"/>
      <w:r w:rsidRPr="00705CA0">
        <w:rPr>
          <w:rFonts w:ascii="Arial" w:hAnsi="Arial" w:cs="Arial"/>
        </w:rPr>
        <w:t xml:space="preserve"> Aguilar </w:t>
      </w:r>
      <w:proofErr w:type="spellStart"/>
      <w:r w:rsidRPr="00705CA0">
        <w:rPr>
          <w:rFonts w:ascii="Arial" w:hAnsi="Arial" w:cs="Arial"/>
        </w:rPr>
        <w:t>Lasserre</w:t>
      </w:r>
      <w:proofErr w:type="spellEnd"/>
      <w:r w:rsidRPr="00705CA0">
        <w:rPr>
          <w:rFonts w:ascii="Arial" w:hAnsi="Arial" w:cs="Arial"/>
        </w:rPr>
        <w:t>.</w:t>
      </w:r>
    </w:p>
    <w:p w:rsidR="00705CA0" w:rsidRPr="00705CA0" w:rsidRDefault="00705CA0" w:rsidP="00705CA0">
      <w:pPr>
        <w:spacing w:after="0" w:line="240" w:lineRule="auto"/>
        <w:jc w:val="both"/>
        <w:rPr>
          <w:rFonts w:ascii="Arial" w:hAnsi="Arial" w:cs="Arial"/>
        </w:rPr>
      </w:pPr>
    </w:p>
    <w:p w:rsidR="00705CA0" w:rsidRDefault="00705CA0" w:rsidP="00C421DB">
      <w:pPr>
        <w:spacing w:after="0" w:line="240" w:lineRule="auto"/>
        <w:jc w:val="both"/>
        <w:rPr>
          <w:rFonts w:ascii="Arial" w:hAnsi="Arial" w:cs="Arial"/>
        </w:rPr>
      </w:pPr>
    </w:p>
    <w:p w:rsidR="00BF0057" w:rsidRPr="00BF0057" w:rsidRDefault="00BE1321" w:rsidP="00BF0057">
      <w:pPr>
        <w:spacing w:after="0" w:line="240" w:lineRule="auto"/>
        <w:jc w:val="both"/>
        <w:rPr>
          <w:rFonts w:ascii="Arial" w:hAnsi="Arial" w:cs="Arial"/>
        </w:rPr>
      </w:pPr>
      <w:r>
        <w:rPr>
          <w:rFonts w:ascii="Arial" w:hAnsi="Arial" w:cs="Arial"/>
        </w:rPr>
        <w:t>7</w:t>
      </w:r>
      <w:r w:rsidR="00057BB2">
        <w:rPr>
          <w:rFonts w:ascii="Arial" w:hAnsi="Arial" w:cs="Arial"/>
        </w:rPr>
        <w:t xml:space="preserve">. </w:t>
      </w:r>
      <w:r w:rsidR="00BF0057" w:rsidRPr="00BF0057">
        <w:rPr>
          <w:rFonts w:ascii="Arial" w:hAnsi="Arial" w:cs="Arial"/>
        </w:rPr>
        <w:t xml:space="preserve">Época: Décima Época </w:t>
      </w:r>
    </w:p>
    <w:p w:rsidR="00BF0057" w:rsidRPr="00BF0057" w:rsidRDefault="00BF0057" w:rsidP="00BF0057">
      <w:pPr>
        <w:spacing w:after="0" w:line="240" w:lineRule="auto"/>
        <w:jc w:val="both"/>
        <w:rPr>
          <w:rFonts w:ascii="Arial" w:hAnsi="Arial" w:cs="Arial"/>
        </w:rPr>
      </w:pPr>
      <w:r w:rsidRPr="00BF0057">
        <w:rPr>
          <w:rFonts w:ascii="Arial" w:hAnsi="Arial" w:cs="Arial"/>
        </w:rPr>
        <w:t xml:space="preserve">Registro: 2021450 </w:t>
      </w:r>
    </w:p>
    <w:p w:rsidR="00BF0057" w:rsidRPr="00BF0057" w:rsidRDefault="00BF0057" w:rsidP="00BF0057">
      <w:pPr>
        <w:spacing w:after="0" w:line="240" w:lineRule="auto"/>
        <w:jc w:val="both"/>
        <w:rPr>
          <w:rFonts w:ascii="Arial" w:hAnsi="Arial" w:cs="Arial"/>
        </w:rPr>
      </w:pPr>
      <w:r w:rsidRPr="00BF0057">
        <w:rPr>
          <w:rFonts w:ascii="Arial" w:hAnsi="Arial" w:cs="Arial"/>
        </w:rPr>
        <w:t xml:space="preserve">Instancia: Tribunales Colegiados de Circuito </w:t>
      </w:r>
    </w:p>
    <w:p w:rsidR="00BF0057" w:rsidRPr="00BF0057" w:rsidRDefault="00BF0057" w:rsidP="00BF0057">
      <w:pPr>
        <w:spacing w:after="0" w:line="240" w:lineRule="auto"/>
        <w:jc w:val="both"/>
        <w:rPr>
          <w:rFonts w:ascii="Arial" w:hAnsi="Arial" w:cs="Arial"/>
        </w:rPr>
      </w:pPr>
      <w:r w:rsidRPr="00BF0057">
        <w:rPr>
          <w:rFonts w:ascii="Arial" w:hAnsi="Arial" w:cs="Arial"/>
        </w:rPr>
        <w:t xml:space="preserve">Tipo de Tesis: Aislada </w:t>
      </w:r>
    </w:p>
    <w:p w:rsidR="00BF0057" w:rsidRPr="00BF0057" w:rsidRDefault="00BF0057" w:rsidP="00BF0057">
      <w:pPr>
        <w:spacing w:after="0" w:line="240" w:lineRule="auto"/>
        <w:jc w:val="both"/>
        <w:rPr>
          <w:rFonts w:ascii="Arial" w:hAnsi="Arial" w:cs="Arial"/>
        </w:rPr>
      </w:pPr>
      <w:r w:rsidRPr="00BF0057">
        <w:rPr>
          <w:rFonts w:ascii="Arial" w:hAnsi="Arial" w:cs="Arial"/>
        </w:rPr>
        <w:t xml:space="preserve">Fuente: Semanario Judicial de la Federación </w:t>
      </w:r>
    </w:p>
    <w:p w:rsidR="00BF0057" w:rsidRPr="00BF0057" w:rsidRDefault="00BF0057" w:rsidP="00BF0057">
      <w:pPr>
        <w:spacing w:after="0" w:line="240" w:lineRule="auto"/>
        <w:jc w:val="both"/>
        <w:rPr>
          <w:rFonts w:ascii="Arial" w:hAnsi="Arial" w:cs="Arial"/>
        </w:rPr>
      </w:pPr>
      <w:r w:rsidRPr="00BF0057">
        <w:rPr>
          <w:rFonts w:ascii="Arial" w:hAnsi="Arial" w:cs="Arial"/>
        </w:rPr>
        <w:t xml:space="preserve">Publicación: viernes 24 de enero de 2020 10:25 h </w:t>
      </w:r>
    </w:p>
    <w:p w:rsidR="00BF0057" w:rsidRPr="00BF0057" w:rsidRDefault="00BF0057" w:rsidP="00BF0057">
      <w:pPr>
        <w:spacing w:after="0" w:line="240" w:lineRule="auto"/>
        <w:jc w:val="both"/>
        <w:rPr>
          <w:rFonts w:ascii="Arial" w:hAnsi="Arial" w:cs="Arial"/>
        </w:rPr>
      </w:pPr>
      <w:r w:rsidRPr="00BF0057">
        <w:rPr>
          <w:rFonts w:ascii="Arial" w:hAnsi="Arial" w:cs="Arial"/>
        </w:rPr>
        <w:t xml:space="preserve">Materia(s): (Civil) </w:t>
      </w:r>
    </w:p>
    <w:p w:rsidR="00BF0057" w:rsidRPr="00BF0057" w:rsidRDefault="00BF0057" w:rsidP="00BF0057">
      <w:pPr>
        <w:spacing w:after="0" w:line="240" w:lineRule="auto"/>
        <w:jc w:val="both"/>
        <w:rPr>
          <w:rFonts w:ascii="Arial" w:hAnsi="Arial" w:cs="Arial"/>
        </w:rPr>
      </w:pPr>
      <w:r w:rsidRPr="00BF0057">
        <w:rPr>
          <w:rFonts w:ascii="Arial" w:hAnsi="Arial" w:cs="Arial"/>
        </w:rPr>
        <w:t xml:space="preserve">Tesis: I.10o.C.22 C (10a.) </w:t>
      </w:r>
    </w:p>
    <w:p w:rsidR="00BF0057" w:rsidRPr="00BF0057" w:rsidRDefault="00BF0057" w:rsidP="00BF0057">
      <w:pPr>
        <w:spacing w:after="0" w:line="240" w:lineRule="auto"/>
        <w:jc w:val="both"/>
        <w:rPr>
          <w:rFonts w:ascii="Arial" w:hAnsi="Arial" w:cs="Arial"/>
        </w:rPr>
      </w:pPr>
    </w:p>
    <w:p w:rsidR="00BF0057" w:rsidRPr="00057BB2" w:rsidRDefault="00BF0057" w:rsidP="00057BB2">
      <w:pPr>
        <w:pStyle w:val="Ttulo2"/>
        <w:jc w:val="both"/>
        <w:rPr>
          <w:rFonts w:ascii="Arial" w:hAnsi="Arial" w:cs="Arial"/>
          <w:color w:val="B35E06" w:themeColor="accent1" w:themeShade="BF"/>
          <w:sz w:val="26"/>
          <w:szCs w:val="26"/>
        </w:rPr>
      </w:pPr>
      <w:bookmarkStart w:id="8" w:name="_Toc31119911"/>
      <w:r w:rsidRPr="00057BB2">
        <w:rPr>
          <w:rFonts w:ascii="Arial" w:hAnsi="Arial" w:cs="Arial"/>
          <w:color w:val="B35E06" w:themeColor="accent1" w:themeShade="BF"/>
          <w:sz w:val="26"/>
          <w:szCs w:val="26"/>
        </w:rPr>
        <w:t>COHABITACIÓN EN UNA RELACIÓN DE PAREJA. PUEDE CONFIGURAR UNA PRESUNCIÓN HUMANA DE QUE SE TRATA DE UNA UNIÓN DE HECHO SUSCEPTIBLE DE GENERAR DERECHOS Y OBLIGACIONES ENTRE LAS PARTES (OTORGAR ALIMENTOS) Y MÁS AÚN SI SE PROCREARON HIJOS EN COMÚN, NO OBSTANTE SU ESTADO CIVIL.</w:t>
      </w:r>
      <w:bookmarkEnd w:id="8"/>
    </w:p>
    <w:p w:rsidR="00BF0057" w:rsidRPr="00BF0057" w:rsidRDefault="00BF0057" w:rsidP="00BF0057">
      <w:pPr>
        <w:spacing w:after="0" w:line="240" w:lineRule="auto"/>
        <w:jc w:val="both"/>
        <w:rPr>
          <w:rFonts w:ascii="Arial" w:hAnsi="Arial" w:cs="Arial"/>
        </w:rPr>
      </w:pPr>
    </w:p>
    <w:p w:rsidR="00BF0057" w:rsidRPr="00BF0057" w:rsidRDefault="00BF0057" w:rsidP="00BF0057">
      <w:pPr>
        <w:spacing w:after="0" w:line="240" w:lineRule="auto"/>
        <w:jc w:val="both"/>
        <w:rPr>
          <w:rFonts w:ascii="Arial" w:hAnsi="Arial" w:cs="Arial"/>
        </w:rPr>
      </w:pPr>
      <w:r w:rsidRPr="00BF0057">
        <w:rPr>
          <w:rFonts w:ascii="Arial" w:hAnsi="Arial" w:cs="Arial"/>
        </w:rPr>
        <w:t xml:space="preserve">De acuerdo con el criterio emitido por la Primera Sala de nuestro Máximo Tribunal del País, en la tesis aislada 1a. VIII/2015 (10a.), de título y subtítulo: "PENSIÓN COMPENSATORIA. PROCEDE ANTE EL QUEBRANTAMIENTO EN UNIONES DE HECHO, SIEMPRE Y CUANDO SE ACREDITE QUE SE TRATA DE UNA PAREJA QUE CONVIVIÓ DE FORMA CONSTANTE Y ESTABLE, FUNDANDO SU RELACIÓN EN LA AFECTIVIDAD, LA SOLIDARIDAD Y LA AYUDA MUTUA.", y a fin de establecer si una relación de pareja constituye una unión de hecho susceptible de generar derechos y obligaciones entre las partes, debe atenderse primordialmente a las características de la propia relación y verificar si por la convivencia estable entre ellas, fundada en la afectividad, generaron vínculos de solidaridad y ayuda mutua. Así, este órgano colegiado considera que en ocasiones se presentan condiciones atípicas en cuanto a las relaciones de pareja que pueden surgir en la sociedad y que no han pasado inadvertidas para el derecho, </w:t>
      </w:r>
      <w:r w:rsidRPr="00BF0057">
        <w:rPr>
          <w:rFonts w:ascii="Arial" w:hAnsi="Arial" w:cs="Arial"/>
        </w:rPr>
        <w:lastRenderedPageBreak/>
        <w:t>considerando también que el matrimonio no suele constituir un impedimento para que, de hecho, las personas puedan tener una relación sentimental con una diversa persona –paralela al matrimonio–, sin llegar a constituir propiamente un concubinato, que será susceptible también de protegerse legalmente, de reunir las características de convivencia constante y estable, basada en una relación de afectividad, solidaridad y ayuda mutua. Para ello, la cohabitación es susceptible de configurar una presunción humana, salvo prueba en contrario, de que los integrantes se encuentran en una relación fundada en tales características, pues voluntariamente decidieron unirse para compartir su vida en un mismo domicilio y más aún si a ello se suma el hecho de haber procreado hijos en común; de lo que deriva que se actualizaría el supuesto de otorgar alimentos a quien, durante la cohabitación, se dedique a las labores del hogar.</w:t>
      </w:r>
    </w:p>
    <w:p w:rsidR="00BF0057" w:rsidRPr="00BF0057" w:rsidRDefault="00BF0057" w:rsidP="00BF0057">
      <w:pPr>
        <w:spacing w:after="0" w:line="240" w:lineRule="auto"/>
        <w:jc w:val="both"/>
        <w:rPr>
          <w:rFonts w:ascii="Arial" w:hAnsi="Arial" w:cs="Arial"/>
        </w:rPr>
      </w:pPr>
    </w:p>
    <w:p w:rsidR="00BF0057" w:rsidRPr="00BF0057" w:rsidRDefault="00BF0057" w:rsidP="00BF0057">
      <w:pPr>
        <w:spacing w:after="0" w:line="240" w:lineRule="auto"/>
        <w:jc w:val="both"/>
        <w:rPr>
          <w:rFonts w:ascii="Arial" w:hAnsi="Arial" w:cs="Arial"/>
        </w:rPr>
      </w:pPr>
      <w:r w:rsidRPr="00BF0057">
        <w:rPr>
          <w:rFonts w:ascii="Arial" w:hAnsi="Arial" w:cs="Arial"/>
        </w:rPr>
        <w:t>DÉCIMO TRIBUNAL COLEGIADO EN MATERIA CIVIL DEL PRIMER CIRCUITO.</w:t>
      </w:r>
    </w:p>
    <w:p w:rsidR="00BF0057" w:rsidRPr="00BF0057" w:rsidRDefault="00BF0057" w:rsidP="00BF0057">
      <w:pPr>
        <w:spacing w:after="0" w:line="240" w:lineRule="auto"/>
        <w:jc w:val="both"/>
        <w:rPr>
          <w:rFonts w:ascii="Arial" w:hAnsi="Arial" w:cs="Arial"/>
        </w:rPr>
      </w:pPr>
    </w:p>
    <w:p w:rsidR="00BF0057" w:rsidRPr="00BF0057" w:rsidRDefault="00BF0057" w:rsidP="00BF0057">
      <w:pPr>
        <w:spacing w:after="0" w:line="240" w:lineRule="auto"/>
        <w:jc w:val="both"/>
        <w:rPr>
          <w:rFonts w:ascii="Arial" w:hAnsi="Arial" w:cs="Arial"/>
        </w:rPr>
      </w:pPr>
      <w:r w:rsidRPr="00BF0057">
        <w:rPr>
          <w:rFonts w:ascii="Arial" w:hAnsi="Arial" w:cs="Arial"/>
        </w:rPr>
        <w:t>Amparo directo 545/2019. 12 de septiembre de 2019. Unanimidad de votos. Ponente: J. Jesús Pérez Grimaldi. Secretaria: Patricia Ávila Jasso.</w:t>
      </w:r>
    </w:p>
    <w:p w:rsidR="00BF0057" w:rsidRPr="00BF0057" w:rsidRDefault="00BF0057" w:rsidP="00BF0057">
      <w:pPr>
        <w:spacing w:after="0" w:line="240" w:lineRule="auto"/>
        <w:jc w:val="both"/>
        <w:rPr>
          <w:rFonts w:ascii="Arial" w:hAnsi="Arial" w:cs="Arial"/>
        </w:rPr>
      </w:pPr>
    </w:p>
    <w:p w:rsidR="00BF0057" w:rsidRPr="00BF0057" w:rsidRDefault="00BF0057" w:rsidP="00BF0057">
      <w:pPr>
        <w:spacing w:after="0" w:line="240" w:lineRule="auto"/>
        <w:jc w:val="both"/>
        <w:rPr>
          <w:rFonts w:ascii="Arial" w:hAnsi="Arial" w:cs="Arial"/>
        </w:rPr>
      </w:pPr>
      <w:r w:rsidRPr="00BF0057">
        <w:rPr>
          <w:rFonts w:ascii="Arial" w:hAnsi="Arial" w:cs="Arial"/>
        </w:rPr>
        <w:t>Nota: La tesis aislada 1a. VIII/2015 (10a.) citada, aparece publicada en el Semanario Judicial de la Federación del viernes 23 de enero de 2015 a las 9:00 horas y en la Gaceta del Semanario Judicial de la Federación, Décima Época, Libro 14, Tomo I, enero de 2015, página 769, con número de registro digital: 2008267.</w:t>
      </w:r>
    </w:p>
    <w:p w:rsidR="00273274" w:rsidRPr="001241E3" w:rsidRDefault="00273274" w:rsidP="00057BB2">
      <w:pPr>
        <w:pStyle w:val="Ttulo1"/>
        <w:numPr>
          <w:ilvl w:val="0"/>
          <w:numId w:val="7"/>
        </w:numPr>
        <w:spacing w:line="360" w:lineRule="auto"/>
        <w:jc w:val="center"/>
        <w:rPr>
          <w:rFonts w:ascii="Arial" w:hAnsi="Arial" w:cs="Arial"/>
          <w:color w:val="B35E06" w:themeColor="accent1" w:themeShade="BF"/>
          <w:sz w:val="36"/>
          <w:szCs w:val="36"/>
        </w:rPr>
      </w:pPr>
      <w:bookmarkStart w:id="9" w:name="_Toc22039258"/>
      <w:bookmarkStart w:id="10" w:name="_Toc5371743"/>
      <w:bookmarkStart w:id="11" w:name="_Toc5263202"/>
      <w:bookmarkStart w:id="12" w:name="_Toc5180179"/>
      <w:bookmarkStart w:id="13" w:name="_Toc1380861"/>
      <w:bookmarkStart w:id="14" w:name="_Toc779016"/>
      <w:bookmarkStart w:id="15" w:name="_Toc536439466"/>
      <w:bookmarkStart w:id="16" w:name="_Toc535924787"/>
      <w:bookmarkStart w:id="17" w:name="_Toc338652"/>
      <w:bookmarkStart w:id="18" w:name="_Toc1379638"/>
      <w:bookmarkStart w:id="19" w:name="_Toc2071030"/>
      <w:bookmarkStart w:id="20" w:name="_Toc11316582"/>
      <w:bookmarkStart w:id="21" w:name="_Toc13479248"/>
      <w:bookmarkStart w:id="22" w:name="_Toc13479882"/>
      <w:bookmarkStart w:id="23" w:name="_Toc13480931"/>
      <w:bookmarkStart w:id="24" w:name="_Toc15894289"/>
      <w:bookmarkStart w:id="25" w:name="_Toc15988715"/>
      <w:bookmarkStart w:id="26" w:name="_Toc16507517"/>
      <w:bookmarkStart w:id="27" w:name="_Toc21951268"/>
      <w:bookmarkStart w:id="28" w:name="_Toc21956617"/>
      <w:bookmarkStart w:id="29" w:name="_Toc21957333"/>
      <w:bookmarkStart w:id="30" w:name="_Toc22037644"/>
      <w:bookmarkStart w:id="31" w:name="_Toc22042399"/>
      <w:bookmarkStart w:id="32" w:name="_Toc22043913"/>
      <w:bookmarkStart w:id="33" w:name="_Toc30674845"/>
      <w:bookmarkStart w:id="34" w:name="_Toc31119912"/>
      <w:r w:rsidRPr="001241E3">
        <w:rPr>
          <w:rFonts w:ascii="Arial" w:hAnsi="Arial" w:cs="Arial"/>
          <w:color w:val="B35E06" w:themeColor="accent1" w:themeShade="BF"/>
          <w:sz w:val="36"/>
          <w:szCs w:val="36"/>
        </w:rPr>
        <w:t>FUENTES CONSULTADAS</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273274" w:rsidRDefault="00273274" w:rsidP="00273274">
      <w:pPr>
        <w:numPr>
          <w:ilvl w:val="0"/>
          <w:numId w:val="6"/>
        </w:numPr>
        <w:spacing w:after="0" w:line="360" w:lineRule="auto"/>
        <w:jc w:val="center"/>
        <w:rPr>
          <w:rFonts w:ascii="Arial" w:hAnsi="Arial" w:cs="Arial"/>
          <w:b/>
          <w:bCs/>
          <w:vanish/>
          <w:color w:val="B35E06" w:themeColor="accent1" w:themeShade="BF"/>
          <w:szCs w:val="24"/>
          <w:lang w:val="es-MX"/>
        </w:rPr>
      </w:pPr>
      <w:bookmarkStart w:id="35" w:name="_Toc536437384"/>
      <w:bookmarkStart w:id="36" w:name="_Toc536437577"/>
      <w:bookmarkStart w:id="37" w:name="_Toc536439344"/>
      <w:bookmarkStart w:id="38" w:name="_Toc536439427"/>
      <w:bookmarkStart w:id="39" w:name="_Toc536439467"/>
      <w:bookmarkStart w:id="40" w:name="_Toc338653"/>
      <w:bookmarkStart w:id="41" w:name="_Toc778876"/>
      <w:bookmarkStart w:id="42" w:name="_Toc779017"/>
      <w:bookmarkStart w:id="43" w:name="_Toc1379639"/>
      <w:bookmarkStart w:id="44" w:name="_Toc1380862"/>
      <w:bookmarkStart w:id="45" w:name="_Toc2071031"/>
      <w:bookmarkStart w:id="46" w:name="_Toc5180102"/>
      <w:bookmarkStart w:id="47" w:name="_Toc5180180"/>
      <w:bookmarkStart w:id="48" w:name="_Toc5262815"/>
      <w:bookmarkStart w:id="49" w:name="_Toc5263076"/>
      <w:bookmarkStart w:id="50" w:name="_Toc5263203"/>
      <w:bookmarkStart w:id="51" w:name="_Toc5263841"/>
      <w:bookmarkStart w:id="52" w:name="_Toc5263889"/>
      <w:bookmarkStart w:id="53" w:name="_Toc5263941"/>
      <w:bookmarkStart w:id="54" w:name="_Toc5273346"/>
      <w:bookmarkStart w:id="55" w:name="_Toc5277921"/>
      <w:bookmarkStart w:id="56" w:name="_Toc5371729"/>
      <w:bookmarkStart w:id="57" w:name="_Toc5371744"/>
      <w:bookmarkStart w:id="58" w:name="_Toc536439468"/>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273274" w:rsidRDefault="00273274" w:rsidP="00273274">
      <w:pPr>
        <w:numPr>
          <w:ilvl w:val="0"/>
          <w:numId w:val="6"/>
        </w:numPr>
        <w:spacing w:after="0" w:line="360" w:lineRule="auto"/>
        <w:jc w:val="center"/>
        <w:rPr>
          <w:rFonts w:ascii="Arial" w:hAnsi="Arial" w:cs="Arial"/>
          <w:b/>
          <w:bCs/>
          <w:vanish/>
          <w:color w:val="B35E06" w:themeColor="accent1" w:themeShade="BF"/>
          <w:szCs w:val="24"/>
          <w:lang w:val="es-MX"/>
        </w:rPr>
      </w:pPr>
      <w:bookmarkStart w:id="59" w:name="_Toc338654"/>
      <w:bookmarkStart w:id="60" w:name="_Toc778877"/>
      <w:bookmarkStart w:id="61" w:name="_Toc779018"/>
      <w:bookmarkStart w:id="62" w:name="_Toc1379640"/>
      <w:bookmarkStart w:id="63" w:name="_Toc1380863"/>
      <w:bookmarkStart w:id="64" w:name="_Toc2071032"/>
      <w:bookmarkStart w:id="65" w:name="_Toc5180103"/>
      <w:bookmarkStart w:id="66" w:name="_Toc5180181"/>
      <w:bookmarkStart w:id="67" w:name="_Toc5262816"/>
      <w:bookmarkStart w:id="68" w:name="_Toc5263077"/>
      <w:bookmarkStart w:id="69" w:name="_Toc5263204"/>
      <w:bookmarkStart w:id="70" w:name="_Toc5263842"/>
      <w:bookmarkStart w:id="71" w:name="_Toc5263890"/>
      <w:bookmarkStart w:id="72" w:name="_Toc5263942"/>
      <w:bookmarkStart w:id="73" w:name="_Toc5273347"/>
      <w:bookmarkStart w:id="74" w:name="_Toc5277922"/>
      <w:bookmarkStart w:id="75" w:name="_Toc5371730"/>
      <w:bookmarkStart w:id="76" w:name="_Toc5371745"/>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273274" w:rsidRDefault="00273274" w:rsidP="00057BB2">
      <w:pPr>
        <w:pStyle w:val="Ttulo2"/>
        <w:spacing w:line="360" w:lineRule="auto"/>
        <w:jc w:val="center"/>
        <w:rPr>
          <w:rFonts w:ascii="Arial" w:hAnsi="Arial" w:cs="Arial"/>
          <w:vanish/>
          <w:color w:val="B35E06" w:themeColor="accent1" w:themeShade="BF"/>
        </w:rPr>
      </w:pPr>
      <w:bookmarkStart w:id="77" w:name="_Toc22039259"/>
      <w:bookmarkStart w:id="78" w:name="_Toc5371746"/>
      <w:bookmarkStart w:id="79" w:name="_Toc5263205"/>
      <w:bookmarkStart w:id="80" w:name="_Toc5180182"/>
      <w:bookmarkStart w:id="81" w:name="_Toc1380864"/>
      <w:bookmarkStart w:id="82" w:name="_Toc779019"/>
      <w:bookmarkStart w:id="83" w:name="_Toc338655"/>
      <w:bookmarkStart w:id="84" w:name="_Toc1379641"/>
      <w:bookmarkStart w:id="85" w:name="_Toc2071033"/>
      <w:bookmarkStart w:id="86" w:name="_Toc11316583"/>
      <w:bookmarkStart w:id="87" w:name="_Toc13479249"/>
      <w:bookmarkStart w:id="88" w:name="_Toc13479883"/>
      <w:bookmarkStart w:id="89" w:name="_Toc13480932"/>
      <w:bookmarkStart w:id="90" w:name="_Toc15894290"/>
      <w:bookmarkStart w:id="91" w:name="_Toc15988716"/>
      <w:bookmarkStart w:id="92" w:name="_Toc16507518"/>
      <w:bookmarkStart w:id="93" w:name="_Toc21951269"/>
      <w:bookmarkStart w:id="94" w:name="_Toc21956618"/>
      <w:bookmarkStart w:id="95" w:name="_Toc21957334"/>
      <w:bookmarkStart w:id="96" w:name="_Toc22037645"/>
      <w:bookmarkStart w:id="97" w:name="_Toc22042400"/>
      <w:bookmarkStart w:id="98" w:name="_Toc22043914"/>
      <w:bookmarkStart w:id="99" w:name="_Toc30674846"/>
      <w:bookmarkStart w:id="100" w:name="_Toc31119913"/>
      <w:proofErr w:type="spellStart"/>
      <w:r>
        <w:rPr>
          <w:rFonts w:ascii="Arial" w:hAnsi="Arial" w:cs="Arial"/>
          <w:color w:val="B35E06" w:themeColor="accent1" w:themeShade="BF"/>
        </w:rPr>
        <w:t>CIBEROGRÁFICA</w:t>
      </w:r>
      <w:proofErr w:type="spellEnd"/>
      <w:r>
        <w:rPr>
          <w:rFonts w:ascii="Arial" w:hAnsi="Arial" w:cs="Arial"/>
          <w:color w:val="B35E06" w:themeColor="accent1" w:themeShade="BF"/>
        </w:rPr>
        <w:t>:</w:t>
      </w:r>
      <w:bookmarkStart w:id="101" w:name="_Toc524446387"/>
      <w:bookmarkStart w:id="102" w:name="_Toc524519068"/>
      <w:bookmarkStart w:id="103" w:name="_Toc524519163"/>
      <w:bookmarkStart w:id="104" w:name="_Toc524446390"/>
      <w:bookmarkStart w:id="105" w:name="_Toc524519071"/>
      <w:bookmarkStart w:id="106" w:name="_Toc524519166"/>
      <w:bookmarkEnd w:id="58"/>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273274" w:rsidRDefault="00273274" w:rsidP="00273274">
      <w:pPr>
        <w:spacing w:after="0" w:line="360" w:lineRule="auto"/>
        <w:jc w:val="center"/>
        <w:rPr>
          <w:rFonts w:ascii="Arial" w:hAnsi="Arial" w:cs="Arial"/>
          <w:color w:val="B35E06" w:themeColor="accent1" w:themeShade="BF"/>
          <w:szCs w:val="24"/>
        </w:rPr>
      </w:pPr>
      <w:bookmarkStart w:id="107" w:name="_Toc524947297"/>
      <w:bookmarkStart w:id="108" w:name="_Toc525683586"/>
      <w:bookmarkStart w:id="109" w:name="_Toc525686134"/>
      <w:bookmarkStart w:id="110" w:name="_Toc525808260"/>
      <w:bookmarkStart w:id="111" w:name="_Toc525808291"/>
      <w:bookmarkStart w:id="112" w:name="_Toc525808454"/>
      <w:bookmarkStart w:id="113" w:name="_Toc524947298"/>
      <w:bookmarkStart w:id="114" w:name="_Toc525683587"/>
      <w:bookmarkStart w:id="115" w:name="_Toc525686135"/>
      <w:bookmarkStart w:id="116" w:name="_Toc525808261"/>
      <w:bookmarkStart w:id="117" w:name="_Toc525808292"/>
      <w:bookmarkStart w:id="118" w:name="_Toc525808455"/>
      <w:bookmarkStart w:id="119" w:name="_Toc524947299"/>
      <w:bookmarkStart w:id="120" w:name="_Toc525683588"/>
      <w:bookmarkStart w:id="121" w:name="_Toc525686136"/>
      <w:bookmarkStart w:id="122" w:name="_Toc525808262"/>
      <w:bookmarkStart w:id="123" w:name="_Toc525808293"/>
      <w:bookmarkStart w:id="124" w:name="_Toc525808456"/>
      <w:bookmarkStart w:id="125" w:name="_Toc524947300"/>
      <w:bookmarkStart w:id="126" w:name="_Toc525683589"/>
      <w:bookmarkStart w:id="127" w:name="_Toc525808294"/>
      <w:bookmarkStart w:id="128" w:name="_Toc525808457"/>
      <w:bookmarkStart w:id="129" w:name="_Toc530503784"/>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273274" w:rsidRDefault="00273274" w:rsidP="00057BB2">
      <w:pPr>
        <w:pStyle w:val="Ttulo3"/>
        <w:jc w:val="center"/>
        <w:rPr>
          <w:rFonts w:ascii="Arial" w:hAnsi="Arial" w:cs="Arial"/>
          <w:b w:val="0"/>
          <w:color w:val="B35E06" w:themeColor="accent1" w:themeShade="BF"/>
        </w:rPr>
      </w:pPr>
      <w:bookmarkStart w:id="130" w:name="_Toc22039260"/>
      <w:bookmarkStart w:id="131" w:name="_Toc5371747"/>
      <w:bookmarkStart w:id="132" w:name="_Toc5263206"/>
      <w:bookmarkStart w:id="133" w:name="_Toc5180183"/>
      <w:bookmarkStart w:id="134" w:name="_Toc1380865"/>
      <w:bookmarkStart w:id="135" w:name="_Toc779020"/>
      <w:bookmarkStart w:id="136" w:name="_Toc536439469"/>
      <w:bookmarkStart w:id="137" w:name="_Toc338656"/>
      <w:bookmarkStart w:id="138" w:name="_Toc1379642"/>
      <w:bookmarkStart w:id="139" w:name="_Toc2071034"/>
      <w:bookmarkStart w:id="140" w:name="_Toc11316584"/>
      <w:bookmarkStart w:id="141" w:name="_Toc13479250"/>
      <w:bookmarkStart w:id="142" w:name="_Toc13479884"/>
      <w:bookmarkStart w:id="143" w:name="_Toc13480933"/>
      <w:bookmarkStart w:id="144" w:name="_Toc15894291"/>
      <w:bookmarkStart w:id="145" w:name="_Toc15988717"/>
      <w:bookmarkStart w:id="146" w:name="_Toc16507519"/>
      <w:bookmarkStart w:id="147" w:name="_Toc21951270"/>
      <w:bookmarkStart w:id="148" w:name="_Toc21956619"/>
      <w:bookmarkStart w:id="149" w:name="_Toc21957335"/>
      <w:bookmarkStart w:id="150" w:name="_Toc22037646"/>
      <w:bookmarkStart w:id="151" w:name="_Toc22042401"/>
      <w:bookmarkStart w:id="152" w:name="_Toc22043915"/>
      <w:bookmarkStart w:id="153" w:name="_Toc30674847"/>
      <w:bookmarkStart w:id="154" w:name="_Toc31119914"/>
      <w:r>
        <w:rPr>
          <w:rFonts w:ascii="Arial" w:hAnsi="Arial" w:cs="Arial"/>
          <w:b w:val="0"/>
          <w:color w:val="B35E06" w:themeColor="accent1" w:themeShade="BF"/>
        </w:rPr>
        <w:t>SEMANARIO JUDICIAL DE LA FEDERACIÓN</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273274" w:rsidRDefault="00273274" w:rsidP="00273274"/>
    <w:p w:rsidR="00273274" w:rsidRDefault="00273274" w:rsidP="00273274">
      <w:pPr>
        <w:spacing w:after="0" w:line="240" w:lineRule="auto"/>
        <w:jc w:val="center"/>
        <w:rPr>
          <w:rFonts w:ascii="Arial" w:hAnsi="Arial" w:cs="Arial"/>
          <w:szCs w:val="24"/>
        </w:rPr>
      </w:pPr>
      <w:bookmarkStart w:id="155" w:name="_Toc525808458"/>
      <w:bookmarkStart w:id="156" w:name="_Toc525808295"/>
      <w:bookmarkStart w:id="157" w:name="_Toc525683590"/>
      <w:bookmarkStart w:id="158" w:name="_Toc524947301"/>
      <w:bookmarkStart w:id="159" w:name="_Toc530503785"/>
      <w:bookmarkEnd w:id="125"/>
      <w:bookmarkEnd w:id="126"/>
      <w:bookmarkEnd w:id="127"/>
      <w:bookmarkEnd w:id="128"/>
      <w:bookmarkEnd w:id="129"/>
      <w:r>
        <w:rPr>
          <w:rFonts w:ascii="Arial" w:hAnsi="Arial" w:cs="Arial"/>
          <w:bCs/>
          <w:szCs w:val="24"/>
        </w:rPr>
        <w:t>(https://sjf.scjn.gob.mx/SJFSem/Paginas/SemanarioV5.aspx</w:t>
      </w:r>
      <w:bookmarkEnd w:id="155"/>
      <w:bookmarkEnd w:id="156"/>
      <w:bookmarkEnd w:id="157"/>
      <w:bookmarkEnd w:id="158"/>
      <w:r>
        <w:rPr>
          <w:rFonts w:ascii="Arial" w:hAnsi="Arial" w:cs="Arial"/>
          <w:bCs/>
          <w:szCs w:val="24"/>
        </w:rPr>
        <w:t>)</w:t>
      </w:r>
      <w:bookmarkEnd w:id="159"/>
    </w:p>
    <w:p w:rsidR="00273274" w:rsidRDefault="00273274" w:rsidP="00273274">
      <w:pPr>
        <w:spacing w:after="0" w:line="240" w:lineRule="auto"/>
        <w:jc w:val="both"/>
        <w:rPr>
          <w:rFonts w:ascii="Arial" w:hAnsi="Arial" w:cs="Arial"/>
          <w:szCs w:val="24"/>
        </w:rPr>
      </w:pPr>
    </w:p>
    <w:p w:rsidR="00623FA6" w:rsidRPr="004C6DA8" w:rsidRDefault="00623FA6" w:rsidP="004C6DA8">
      <w:pPr>
        <w:spacing w:after="0" w:line="240" w:lineRule="auto"/>
        <w:jc w:val="both"/>
        <w:rPr>
          <w:rFonts w:ascii="Arial" w:hAnsi="Arial" w:cs="Arial"/>
        </w:rPr>
      </w:pPr>
    </w:p>
    <w:sectPr w:rsidR="00623FA6" w:rsidRPr="004C6DA8" w:rsidSect="002263E7">
      <w:headerReference w:type="default" r:id="rId12"/>
      <w:footerReference w:type="default" r:id="rId13"/>
      <w:pgSz w:w="11906" w:h="16838" w:code="9"/>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0D9" w:rsidRDefault="006A00D9">
      <w:pPr>
        <w:spacing w:after="0" w:line="240" w:lineRule="auto"/>
      </w:pPr>
      <w:r>
        <w:separator/>
      </w:r>
    </w:p>
  </w:endnote>
  <w:endnote w:type="continuationSeparator" w:id="0">
    <w:p w:rsidR="006A00D9" w:rsidRDefault="006A0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B20C11" w:rsidRPr="00D72CB4" w:rsidRDefault="00DA37BB">
    <w:pPr>
      <w:pStyle w:val="Piedepgina"/>
      <w:rPr>
        <w:rFonts w:ascii="Arial" w:hAnsi="Arial" w:cs="Arial"/>
        <w:i/>
        <w:sz w:val="18"/>
        <w:szCs w:val="18"/>
      </w:rPr>
    </w:pPr>
    <w:r w:rsidRPr="00D72CB4">
      <w:rPr>
        <w:rFonts w:ascii="Arial" w:hAnsi="Arial" w:cs="Arial"/>
        <w:i/>
        <w:noProof/>
        <w:color w:val="664D26" w:themeColor="accent6" w:themeShade="80"/>
        <w:sz w:val="18"/>
        <w:szCs w:val="18"/>
        <w:lang w:val="es-MX" w:eastAsia="es-MX"/>
      </w:rPr>
      <mc:AlternateContent>
        <mc:Choice Requires="wpg">
          <w:drawing>
            <wp:anchor distT="0" distB="0" distL="114300" distR="114300" simplePos="0" relativeHeight="251668480" behindDoc="1" locked="0" layoutInCell="1" allowOverlap="1" wp14:anchorId="46BFA868" wp14:editId="41AC67D0">
              <wp:simplePos x="0" y="0"/>
              <wp:positionH relativeFrom="column">
                <wp:posOffset>-1080135</wp:posOffset>
              </wp:positionH>
              <wp:positionV relativeFrom="paragraph">
                <wp:posOffset>-537211</wp:posOffset>
              </wp:positionV>
              <wp:extent cx="8248650" cy="1158240"/>
              <wp:effectExtent l="57150" t="114300" r="114300" b="80010"/>
              <wp:wrapNone/>
              <wp:docPr id="15" name="Gráfico 17" descr="Curved accent shapes that collectively build the header design"/>
              <wp:cNvGraphicFramePr/>
              <a:graphic xmlns:a="http://schemas.openxmlformats.org/drawingml/2006/main">
                <a:graphicData uri="http://schemas.microsoft.com/office/word/2010/wordprocessingGroup">
                  <wpg:wgp>
                    <wpg:cNvGrpSpPr/>
                    <wpg:grpSpPr>
                      <a:xfrm flipV="1">
                        <a:off x="0" y="0"/>
                        <a:ext cx="8248650" cy="1158240"/>
                        <a:chOff x="-7144" y="-7144"/>
                        <a:chExt cx="6005513" cy="1924050"/>
                      </a:xfrm>
                      <a:scene3d>
                        <a:camera prst="orthographicFront">
                          <a:rot lat="0" lon="0" rev="0"/>
                        </a:camera>
                        <a:lightRig rig="brightRoom" dir="t">
                          <a:rot lat="0" lon="0" rev="600000"/>
                        </a:lightRig>
                      </a:scene3d>
                    </wpg:grpSpPr>
                    <wps:wsp>
                      <wps:cNvPr id="16"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59324"/>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orma libre: Forma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EB891A"/>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áfico 17" o:spid="_x0000_s1026" alt="Descripción: Curved accent shapes that collectively build the header design" style="position:absolute;margin-left:-85.05pt;margin-top:-42.3pt;width:649.5pt;height:91.2pt;flip:y;z-index:-251648000;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">
              <v:shape id="Forma libre: Forma 20" o:spid="_x0000_s1027" style="position:absolute;left:21216;top:-71;width:38767;height:17620;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8hsIA&#10;AADbAAAADwAAAGRycy9kb3ducmV2LnhtbERPTUvDQBC9F/wPywheit2oNUjstogg2N5Se6i3ITsm&#10;IdnZsDs28d93hUJv83ifs9pMrlcnCrH1bOBhkYEirrxtuTZw+Pq4fwEVBdli75kM/FGEzfpmtsLC&#10;+pFLOu2lVimEY4EGGpGh0DpWDTmMCz8QJ+7HB4eSYKi1DTimcNfrxyzLtcOWU0ODA703VHX7X2dg&#10;Lt+jLMNUdrR9Phyfup09lrkxd7fT2ysooUmu4ov706b5Ofz/kg7Q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vyGwgAAANsAAAAPAAAAAAAAAAAAAAAAAJgCAABkcnMvZG93&#10;bnJldi54bWxQSwUGAAAAAAQABAD1AAAAhwMAAAAA&#10;" path="m3869531,1359694v,,-489585,474345,-1509712,384810c1339691,1654969,936784,1180624,7144,1287304l7144,7144r3862387,l3869531,1359694xe" fillcolor="#ff9d2e" stroked="f">
                <v:stroke joinstyle="miter"/>
                <v:shadow on="t" color="black" opacity="19660f" offset=".552mm,.73253mm"/>
                <v:path arrowok="t" o:connecttype="custom" o:connectlocs="3869531,1359694;2359819,1744504;7144,1287304;7144,7144;3869531,7144;3869531,1359694" o:connectangles="0,0,0,0,0,0"/>
              </v:shape>
              <v:shape id="Forma libre: Forma 22" o:spid="_x0000_s1028" style="position:absolute;left:-71;top:-71;width:60007;height:19240;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2OycEA&#10;AADbAAAADwAAAGRycy9kb3ducmV2LnhtbERPTWvCQBC9C/0Pywi9SN1YxUp0lSIIRfCgFbwO2TGJ&#10;ZmdDdtTUX+8KQm/zeJ8zW7SuUldqQunZwKCfgCLOvC05N7D/XX1MQAVBtlh5JgN/FGAxf+vMMLX+&#10;xlu67iRXMYRDigYKkTrVOmQFOQx9XxNH7ugbhxJhk2vb4C2Gu0p/JslYOyw5NhRY07Kg7Ly7OAO2&#10;vZxG995mOdyiW/cQZb0/iDHv3fZ7CkqolX/xy/1j4/wveP4SD9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9jsnBAAAA2wAAAA8AAAAAAAAAAAAAAAAAmAIAAGRycy9kb3du&#10;cmV2LnhtbFBLBQYAAAAABAAEAPUAAACGAwAAAAA=&#10;" path="m7144,1699736v,,1403032,618173,2927032,-215265c4459129,651986,5998369,893921,5998369,893921r,-886777l7144,7144r,1692592xe" fillcolor="#f59324" stroked="f">
                <v:stroke joinstyle="miter"/>
                <v:shadow on="t" color="black" opacity="19660f" offset=".552mm,.73253mm"/>
                <v:path arrowok="t" o:connecttype="custom" o:connectlocs="7144,1699736;2934176,1484471;5998369,893921;5998369,7144;7144,7144;7144,1699736" o:connectangles="0,0,0,0,0,0"/>
              </v:shape>
              <v:shape id="Forma libre: Forma 23" o:spid="_x0000_s1029" style="position:absolute;left:-71;top:-71;width:60007;height:9048;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4b8UA&#10;AADbAAAADwAAAGRycy9kb3ducmV2LnhtbESPT0/DMAzF70j7DpEncWPJdkCoLJsm0BBw4M/KhZvV&#10;eE3VxqmSsHXfHh+QuNl6z+/9vN5OYVAnSrmLbGG5MKCIm+g6bi181fubO1C5IDscIpOFC2XYbmZX&#10;a6xcPPMnnQ6lVRLCuUILvpSx0jo3ngLmRRyJRTvGFLDImlrtEp4lPAx6ZcytDtixNHgc6cFT0x9+&#10;ggV+7XfxmOqLN9+r3rw81e9vH4/WXs+n3T2oQlP5N/9dPzv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ThvxQAAANsAAAAPAAAAAAAAAAAAAAAAAJgCAABkcnMv&#10;ZG93bnJldi54bWxQSwUGAAAAAAQABAD1AAAAigMAAAAA&#10;" path="m7144,7144r,606742c647224,1034891,2136934,964406,3546634,574834,4882039,205264,5998369,893921,5998369,893921r,-886777l7144,7144xe" fillcolor="#eb891a" stroked="f">
                <v:stroke joinstyle="miter"/>
                <v:shadow on="t" color="black" opacity="19660f" offset=".552mm,.73253mm"/>
                <v:path arrowok="t" o:connecttype="custom" o:connectlocs="7144,7144;7144,613886;3546634,574834;5998369,893921;5998369,7144;7144,7144" o:connectangles="0,0,0,0,0,0"/>
              </v:shape>
              <v:shape id="Forma libre: Forma 24" o:spid="_x0000_s1030" style="position:absolute;left:31761;top:9244;width:28194;height:8286;visibility:visible;mso-wrap-style:square;v-text-anchor:middle" coordsize="28194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mtcAA&#10;AADbAAAADwAAAGRycy9kb3ducmV2LnhtbERPTWsCMRC9F/wPYQRvNVtB0a1RRBCUQmHVi7dxM90s&#10;3UyWJGr67xuh0Ns83ucs18l24k4+tI4VvI0LEMS10y03Cs6n3escRIjIGjvHpOCHAqxXg5cllto9&#10;uKL7MTYih3AoUYGJsS+lDLUhi2HseuLMfTlvMWboG6k9PnK47eSkKGbSYsu5wWBPW0P19/FmFRwO&#10;G/1xu/rPwlSXmC7zahquSanRMG3eQURK8V/8597rPH8Bz1/y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gmtcAAAADbAAAADwAAAAAAAAAAAAAAAACYAgAAZHJzL2Rvd25y&#10;ZXYueG1sUEsFBgAAAAAEAAQA9QAAAIUDAAAAAA==&#10;" path="m7144,481489c380524,602456,751999,764381,1305401,812959,2325529,902494,2815114,428149,2815114,428149r,-421005c2332196,236696,1376839,568166,7144,481489xe" fillcolor="#ff9d2e" stroked="f">
                <v:stroke joinstyle="miter"/>
                <v:shadow on="t" color="black" opacity="19660f" offset=".552mm,.73253mm"/>
                <v:path arrowok="t" o:connecttype="custom" o:connectlocs="7144,481489;1305401,812959;2815114,428149;2815114,7144;7144,481489" o:connectangles="0,0,0,0,0"/>
              </v:shape>
            </v:group>
          </w:pict>
        </mc:Fallback>
      </mc:AlternateContent>
    </w:r>
    <w:r w:rsidR="00D72CB4" w:rsidRPr="00D72CB4">
      <w:rPr>
        <w:rFonts w:ascii="Arial" w:hAnsi="Arial" w:cs="Arial"/>
        <w:i/>
        <w:color w:val="664D26" w:themeColor="accent6" w:themeShade="80"/>
        <w:sz w:val="18"/>
        <w:szCs w:val="18"/>
      </w:rPr>
      <w:t>Comisión de Investigación y Estudios Jurídicos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0D9" w:rsidRDefault="006A00D9">
      <w:pPr>
        <w:spacing w:after="0" w:line="240" w:lineRule="auto"/>
      </w:pPr>
      <w:r>
        <w:separator/>
      </w:r>
    </w:p>
  </w:footnote>
  <w:footnote w:type="continuationSeparator" w:id="0">
    <w:p w:rsidR="006A00D9" w:rsidRDefault="006A00D9">
      <w:pPr>
        <w:spacing w:after="0" w:line="240" w:lineRule="auto"/>
      </w:pPr>
      <w:r>
        <w:continuationSeparator/>
      </w:r>
    </w:p>
  </w:footnote>
  <w:footnote w:id="1">
    <w:p w:rsidR="00057BB2" w:rsidRPr="00057BB2" w:rsidRDefault="00057BB2" w:rsidP="00057BB2">
      <w:pPr>
        <w:spacing w:after="0" w:line="240" w:lineRule="auto"/>
        <w:jc w:val="both"/>
        <w:rPr>
          <w:rFonts w:ascii="Arial" w:hAnsi="Arial" w:cs="Arial"/>
          <w:sz w:val="18"/>
          <w:szCs w:val="18"/>
        </w:rPr>
      </w:pPr>
      <w:r w:rsidRPr="00057BB2">
        <w:rPr>
          <w:rStyle w:val="Refdenotaalpie"/>
          <w:rFonts w:ascii="Arial" w:hAnsi="Arial" w:cs="Arial"/>
          <w:sz w:val="18"/>
          <w:szCs w:val="18"/>
        </w:rPr>
        <w:footnoteRef/>
      </w:r>
      <w:r w:rsidRPr="00057BB2">
        <w:rPr>
          <w:rFonts w:ascii="Arial" w:hAnsi="Arial" w:cs="Arial"/>
          <w:sz w:val="18"/>
          <w:szCs w:val="18"/>
        </w:rPr>
        <w:t xml:space="preserve"> </w:t>
      </w:r>
      <w:r w:rsidRPr="00057BB2">
        <w:rPr>
          <w:rFonts w:ascii="Arial" w:hAnsi="Arial" w:cs="Arial"/>
          <w:sz w:val="18"/>
          <w:szCs w:val="18"/>
        </w:rPr>
        <w:t>Esta tesis aparece de igual manera en la compilación de tesis en materia constitucional y amparo.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1" w:rsidRDefault="008613E1" w:rsidP="00B20C11">
    <w:pPr>
      <w:pStyle w:val="Encabezado"/>
      <w:tabs>
        <w:tab w:val="clear" w:pos="4680"/>
        <w:tab w:val="clear" w:pos="9360"/>
        <w:tab w:val="left" w:pos="8375"/>
      </w:tabs>
      <w:rPr>
        <w:noProof/>
        <w:color w:val="auto"/>
        <w:lang w:val="es-MX" w:eastAsia="es-MX"/>
      </w:rPr>
    </w:pPr>
    <w:r w:rsidRPr="00B20C11">
      <w:rPr>
        <w:noProof/>
        <w:lang w:val="es-MX" w:eastAsia="es-MX"/>
      </w:rPr>
      <w:drawing>
        <wp:anchor distT="0" distB="0" distL="114300" distR="114300" simplePos="0" relativeHeight="251665408" behindDoc="0" locked="0" layoutInCell="1" allowOverlap="1" wp14:anchorId="1023E0CC" wp14:editId="4B73AAC1">
          <wp:simplePos x="0" y="0"/>
          <wp:positionH relativeFrom="column">
            <wp:posOffset>5189855</wp:posOffset>
          </wp:positionH>
          <wp:positionV relativeFrom="paragraph">
            <wp:posOffset>-205740</wp:posOffset>
          </wp:positionV>
          <wp:extent cx="1019175" cy="1019175"/>
          <wp:effectExtent l="76200" t="57150" r="104775" b="790575"/>
          <wp:wrapNone/>
          <wp:docPr id="10" name="Imagen 10" descr="C:\Users\HP\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691094">
      <w:rPr>
        <w:noProof/>
        <w:lang w:val="es-MX" w:eastAsia="es-MX"/>
      </w:rPr>
      <mc:AlternateContent>
        <mc:Choice Requires="wps">
          <w:drawing>
            <wp:anchor distT="0" distB="0" distL="114300" distR="114300" simplePos="0" relativeHeight="251670528" behindDoc="0" locked="0" layoutInCell="1" allowOverlap="1" wp14:anchorId="2F6A943E" wp14:editId="26C5D81B">
              <wp:simplePos x="0" y="0"/>
              <wp:positionH relativeFrom="column">
                <wp:posOffset>1681810</wp:posOffset>
              </wp:positionH>
              <wp:positionV relativeFrom="paragraph">
                <wp:posOffset>-120650</wp:posOffset>
              </wp:positionV>
              <wp:extent cx="21945" cy="957377"/>
              <wp:effectExtent l="19050" t="19050" r="35560" b="33655"/>
              <wp:wrapNone/>
              <wp:docPr id="12" name="Conector recto 12"/>
              <wp:cNvGraphicFramePr/>
              <a:graphic xmlns:a="http://schemas.openxmlformats.org/drawingml/2006/main">
                <a:graphicData uri="http://schemas.microsoft.com/office/word/2010/wordprocessingShape">
                  <wps:wsp>
                    <wps:cNvCnPr/>
                    <wps:spPr>
                      <a:xfrm>
                        <a:off x="0" y="0"/>
                        <a:ext cx="21945" cy="957377"/>
                      </a:xfrm>
                      <a:prstGeom prst="line">
                        <a:avLst/>
                      </a:prstGeom>
                      <a:ln w="28575">
                        <a:solidFill>
                          <a:srgbClr val="FFC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2.45pt,-9.5pt" to="134.2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" strokecolor="#ffc000" strokeweight="2.25pt"/>
          </w:pict>
        </mc:Fallback>
      </mc:AlternateContent>
    </w:r>
    <w:r w:rsidR="001D0683" w:rsidRPr="00B20C11">
      <w:rPr>
        <w:noProof/>
        <w:lang w:val="es-MX" w:eastAsia="es-MX"/>
      </w:rPr>
      <w:drawing>
        <wp:anchor distT="0" distB="0" distL="114300" distR="114300" simplePos="0" relativeHeight="251664384" behindDoc="0" locked="0" layoutInCell="1" allowOverlap="1" wp14:anchorId="0F004586" wp14:editId="1877E49F">
          <wp:simplePos x="0" y="0"/>
          <wp:positionH relativeFrom="column">
            <wp:posOffset>-630872</wp:posOffset>
          </wp:positionH>
          <wp:positionV relativeFrom="paragraph">
            <wp:posOffset>-52705</wp:posOffset>
          </wp:positionV>
          <wp:extent cx="2209800" cy="876300"/>
          <wp:effectExtent l="0" t="0" r="0" b="0"/>
          <wp:wrapNone/>
          <wp:docPr id="11" name="Imagen 11" descr="C:\Users\HP\Download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876300"/>
                  </a:xfrm>
                  <a:prstGeom prst="rect">
                    <a:avLst/>
                  </a:prstGeom>
                  <a:noFill/>
                  <a:ln>
                    <a:noFill/>
                  </a:ln>
                </pic:spPr>
              </pic:pic>
            </a:graphicData>
          </a:graphic>
        </wp:anchor>
      </w:drawing>
    </w: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E52B73" w:rsidRDefault="00E52B73" w:rsidP="00B20C11">
    <w:pPr>
      <w:pStyle w:val="Encabezado"/>
      <w:tabs>
        <w:tab w:val="clear" w:pos="4680"/>
        <w:tab w:val="clear" w:pos="9360"/>
        <w:tab w:val="left" w:pos="8375"/>
      </w:tabs>
    </w:pPr>
  </w:p>
  <w:p w:rsidR="007F106F" w:rsidRDefault="007F106F" w:rsidP="00B20C11">
    <w:pPr>
      <w:pStyle w:val="Encabezado"/>
      <w:tabs>
        <w:tab w:val="clear" w:pos="4680"/>
        <w:tab w:val="clear" w:pos="9360"/>
        <w:tab w:val="left" w:pos="8375"/>
      </w:tabs>
      <w:rPr>
        <w:noProof/>
        <w:color w:val="auto"/>
        <w:lang w:val="es-MX" w:eastAsia="es-MX"/>
      </w:rPr>
    </w:pPr>
  </w:p>
  <w:p w:rsidR="00EF36A5" w:rsidRDefault="001D0683" w:rsidP="00B20C11">
    <w:pPr>
      <w:pStyle w:val="Encabezado"/>
      <w:tabs>
        <w:tab w:val="clear" w:pos="4680"/>
        <w:tab w:val="clear" w:pos="9360"/>
        <w:tab w:val="left" w:pos="8375"/>
      </w:tabs>
    </w:pPr>
    <w:r>
      <w:rPr>
        <w:noProof/>
        <w:color w:val="auto"/>
        <w:lang w:val="es-MX" w:eastAsia="es-MX"/>
      </w:rPr>
      <mc:AlternateContent>
        <mc:Choice Requires="wpg">
          <w:drawing>
            <wp:anchor distT="0" distB="0" distL="114300" distR="114300" simplePos="0" relativeHeight="251663360" behindDoc="1" locked="0" layoutInCell="1" allowOverlap="1" wp14:anchorId="4A8A716A" wp14:editId="3C2DDE8D">
              <wp:simplePos x="0" y="0"/>
              <wp:positionH relativeFrom="page">
                <wp:posOffset>-266700</wp:posOffset>
              </wp:positionH>
              <wp:positionV relativeFrom="page">
                <wp:posOffset>-123825</wp:posOffset>
              </wp:positionV>
              <wp:extent cx="9643745" cy="10297160"/>
              <wp:effectExtent l="19050" t="0" r="90805" b="46990"/>
              <wp:wrapNone/>
              <wp:docPr id="1" name="Grupo 6" descr="decorative element"/>
              <wp:cNvGraphicFramePr/>
              <a:graphic xmlns:a="http://schemas.openxmlformats.org/drawingml/2006/main">
                <a:graphicData uri="http://schemas.microsoft.com/office/word/2010/wordprocessingGroup">
                  <wpg:wgp>
                    <wpg:cNvGrpSpPr/>
                    <wpg:grpSpPr>
                      <a:xfrm>
                        <a:off x="0" y="0"/>
                        <a:ext cx="9643745" cy="10297160"/>
                        <a:chOff x="19044" y="0"/>
                        <a:chExt cx="9640755" cy="10298367"/>
                      </a:xfrm>
                    </wpg:grpSpPr>
                    <wps:wsp>
                      <wps:cNvPr id="2" name="Forma libr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rgbClr val="EB891A"/>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orma libre 10">
                        <a:extLst/>
                      </wps:cNvPr>
                      <wps:cNvSpPr/>
                      <wps:spPr>
                        <a:xfrm>
                          <a:off x="1497509"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59324"/>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orma libre 19">
                        <a:extLst/>
                      </wps:cNvPr>
                      <wps:cNvSpPr/>
                      <wps:spPr>
                        <a:xfrm>
                          <a:off x="719391"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9D2E"/>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orma libr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gradFill flip="none" rotWithShape="1">
                          <a:gsLst>
                            <a:gs pos="0">
                              <a:srgbClr val="EC881A">
                                <a:shade val="30000"/>
                                <a:satMod val="115000"/>
                              </a:srgbClr>
                            </a:gs>
                            <a:gs pos="50000">
                              <a:srgbClr val="EC881A">
                                <a:shade val="67500"/>
                                <a:satMod val="115000"/>
                              </a:srgbClr>
                            </a:gs>
                            <a:gs pos="100000">
                              <a:srgbClr val="EC881A">
                                <a:shade val="100000"/>
                                <a:satMod val="115000"/>
                              </a:srgbClr>
                            </a:gs>
                          </a:gsLst>
                          <a:lin ang="16200000" scaled="1"/>
                          <a:tileRect/>
                        </a:gradFill>
                        <a:ln w="8460" cap="flat">
                          <a:noFill/>
                          <a:prstDash val="solid"/>
                          <a:miter/>
                        </a:ln>
                        <a:effectLst/>
                        <a:scene3d>
                          <a:camera prst="orthographicFront">
                            <a:rot lat="0" lon="0" rev="0"/>
                          </a:camera>
                          <a:lightRig rig="contrasting" dir="t">
                            <a:rot lat="0" lon="0" rev="7800000"/>
                          </a:lightRig>
                        </a:scene3d>
                        <a:sp3d>
                          <a:bevelT w="139700" h="1397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orma libre 21">
                        <a:extLst/>
                      </wps:cNvPr>
                      <wps:cNvSpPr/>
                      <wps:spPr>
                        <a:xfrm>
                          <a:off x="19044" y="377957"/>
                          <a:ext cx="8162290" cy="9757050"/>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Conector recto 22"/>
                      <wps:cNvCnPr/>
                      <wps:spPr>
                        <a:xfrm>
                          <a:off x="762000" y="838200"/>
                          <a:ext cx="0" cy="8322907"/>
                        </a:xfrm>
                        <a:prstGeom prst="line">
                          <a:avLst/>
                        </a:prstGeom>
                        <a:ln w="38100">
                          <a:solidFill>
                            <a:srgbClr val="EC881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o 6" o:spid="_x0000_s1026" alt="Descripción: decorative element" style="position:absolute;margin-left:-21pt;margin-top:-9.75pt;width:759.35pt;height:810.8pt;z-index:-251653120;mso-position-horizontal-relative:page;mso-position-vertical-relative:page" coordorigin="190" coordsize="9640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">
              <v:shape id="Forma libre 9" o:spid="_x0000_s1027" style="position:absolute;left:2819;width:78514;height:20191;visibility:visible;mso-wrap-style:square;v-text-anchor:middle" coordsize="5350933,13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qsMMA&#10;AADaAAAADwAAAGRycy9kb3ducmV2LnhtbESPzWrDMBCE74W8g9hAbo2cHNziWA5JwDT1LXEPPS7W&#10;+iexVsZSY/ftq0Khx2FmvmHS/Wx68aDRdZYVbNYRCOLK6o4bBR9l/vwKwnlkjb1lUvBNDvbZ4inF&#10;RNuJL/S4+kYECLsEFbTeD4mUrmrJoFvbgTh4tR0N+iDHRuoRpwA3vdxGUSwNdhwWWhzo1FJ1v34Z&#10;Bb7Ql+lWfhZ13pT5Wx0f31/kUanVcj7sQHia/X/4r33WCrbweyXc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NqsMMAAADaAAAADwAAAAAAAAAAAAAAAACYAgAAZHJzL2Rv&#10;d25yZXYueG1sUEsFBgAAAAAEAAQA9QAAAIgDAAAAAA==&#10;" path="m5640,5640r5339927,l5345567,1384014r-5339927,l5640,5640xe" fillcolor="#eb891a" stroked="f" strokeweight=".235mm">
                <v:stroke joinstyle="miter"/>
                <v:path arrowok="t" o:connecttype="custom" o:connectlocs="8276,8202;7843517,8202;7843517,2012598;8276,2012598" o:connectangles="0,0,0,0"/>
              </v:shape>
              <v:shape id="Forma libre 10" o:spid="_x0000_s1028" style="position:absolute;left:14975;top:5113;width:81622;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JS8MA&#10;AADaAAAADwAAAGRycy9kb3ducmV2LnhtbESPUUsDMRCE3wX/Q1jBN5urlfM4m5ZSbFV80dofsFy2&#10;d0eTzZGs7fXfG0HwcZiZb5j5cvROnSimPrCB6aQARdwE23NrYP+1uatAJUG26AKTgQslWC6ur+ZY&#10;23DmTzrtpFUZwqlGA53IUGudmo48pkkYiLN3CNGjZBlbbSOeM9w7fV8UpfbYc17ocKB1R81x9+0N&#10;lNXbS7WXR4mzh617xw+3eS6nxtzejKsnUEKj/If/2q/WwAx+r+Qb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qJS8MAAADaAAAADwAAAAAAAAAAAAAAAACYAgAAZHJzL2Rv&#10;d25yZXYueG1sUEsFBgAAAAAEAAQA9QAAAIgDAAAAAA==&#10;" path="m5339927,915247r-1551940,c3787987,915247,3374067,956949,3327400,435187r,41702c3327400,236435,3132667,,2892213,l238760,c150707,,68580,26247,,71120l,6018954r5339927,l5339927,915247xe" fillcolor="#f59324"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19" o:spid="_x0000_s1029" style="position:absolute;left:7193;top:5113;width:81623;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qEcQA&#10;AADaAAAADwAAAGRycy9kb3ducmV2LnhtbESPQWvCQBSE70L/w/IK3nQT0VKiq1ihUClYtKIen9ln&#10;Epp9G3bXmP57t1DwOMzMN8xs0ZlatOR8ZVlBOkxAEOdWV1wo2H+/D15B+ICssbZMCn7Jw2L+1Jth&#10;pu2Nt9TuQiEihH2GCsoQmkxKn5dk0A9tQxy9i3UGQ5SukNrhLcJNLUdJ8iINVhwXSmxoVVL+s7sa&#10;BZvl8e0zTd2hrk77r8lat5NzIZXqP3fLKYhAXXiE/9sfWsEY/q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6hHEAAAA2gAAAA8AAAAAAAAAAAAAAAAAmAIAAGRycy9k&#10;b3ducmV2LnhtbFBLBQYAAAAABAAEAPUAAACJAwAAAAA=&#10;" path="m5339927,915247r-1551940,c3787987,915247,3374067,956949,3327400,435187r,41702c3327400,236435,3132667,,2892213,l238760,c150707,,68580,26247,,71120l,6018954r5339927,l5339927,915247xe" fillcolor="#ff9d2e"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20" o:spid="_x0000_s1030" style="position:absolute;left:2971;top:93268;width:78394;height:9715;visibility:visible;mso-wrap-style:square;v-text-anchor:middle" coordsize="5342466,10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h+sMA&#10;AADaAAAADwAAAGRycy9kb3ducmV2LnhtbESPT2sCMRTE7wW/Q3hCL0WzFqzLahQRSqU3/yB6e2ye&#10;m2U3L0uS6vbbN4LQ4zAzv2EWq9624kY+1I4VTMYZCOLS6ZorBcfD5ygHESKyxtYxKfilAKvl4GWB&#10;hXZ33tFtHyuRIBwKVGBi7AopQ2nIYhi7jjh5V+ctxiR9JbXHe4LbVr5n2Ye0WHNaMNjRxlDZ7H+s&#10;gv7rrf02p2aWny7b5txcy5mXuVKvw349BxGpj//hZ3urFUzhcSXd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h+sMAAADaAAAADwAAAAAAAAAAAAAAAACYAgAAZHJzL2Rv&#10;d25yZXYueG1sUEsFBgAAAAAEAAQA9QAAAIgDAAAAAA==&#10;" path="m5640,5640r5334000,l5339640,1036880r-5334000,l5640,5640xe" fillcolor="#934d01" stroked="f" strokeweight=".235mm">
                <v:fill color2="#fc890a" rotate="t" angle="180" colors="0 #934d01;.5 #d47207;1 #fc890a" focus="100%" type="gradient"/>
                <v:stroke joinstyle="miter"/>
                <v:path arrowok="t" o:connecttype="custom" o:connectlocs="8276,5261;7835173,5261;7835173,967271;8276,967271" o:connectangles="0,0,0,0"/>
              </v:shape>
              <v:shape id="Forma libre 21" o:spid="_x0000_s1031" style="position:absolute;left:190;top:3779;width:81623;height:97571;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S3cQA&#10;AADaAAAADwAAAGRycy9kb3ducmV2LnhtbESPQUvDQBSE70L/w/IEb2ajYC2x25CotZ6KrXrw9sg+&#10;s6HZt2F3TdN/3xUEj8PMfMMsy8n2YiQfOscKbrIcBHHjdMetgo/39fUCRIjIGnvHpOBEAcrV7GKJ&#10;hXZH3tG4j61IEA4FKjAxDoWUoTFkMWRuIE7et/MWY5K+ldrjMcFtL2/zfC4tdpwWDA70aKg57H+s&#10;Anrzo/l8qdZ1vR13m8XzV+2e7pS6upyqBxCRpvgf/mu/agX38Hsl3QC5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kt3EAAAA2gAAAA8AAAAAAAAAAAAAAAAAmAIAAGRycy9k&#10;b3ducmV2LnhtbFBLBQYAAAAABAAEAPUAAACJAw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483665;5790088,1483665;5086063,705462;5086063,773063;4420862,0;364954,0;0,115289;0,9757050;8162290,9757050;8162290,1483665" o:connectangles="0,0,0,0,0,0,0,0,0,0"/>
              </v:shape>
              <v:line id="Conector recto 22" o:spid="_x0000_s1032" style="position:absolute;visibility:visible;mso-wrap-style:square" from="7620,8382" to="7620,9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Vahb8AAADaAAAADwAAAGRycy9kb3ducmV2LnhtbERPTYvCMBC9C/6HMII3TRUV6TYVEUQP&#10;gthd8To2s213m0lpotZ/bw6Cx8f7TladqcWdWldZVjAZRyCIc6srLhT8fG9HSxDOI2usLZOCJzlY&#10;pf1egrG2Dz7RPfOFCCHsYlRQet/EUrq8JINubBviwP3a1qAPsC2kbvERwk0tp1G0kAYrDg0lNrQp&#10;Kf/PbkbBfr48mL/8usuy46zZzeT5erltlRoOuvUXCE+d/4jf7r1WELaGK+EGyPQ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Vahb8AAADaAAAADwAAAAAAAAAAAAAAAACh&#10;AgAAZHJzL2Rvd25yZXYueG1sUEsFBgAAAAAEAAQA+QAAAI0DAAAAAA==&#10;" strokecolor="#ec881a" strokeweight="3pt"/>
              <w10:wrap anchorx="page" anchory="page"/>
            </v:group>
          </w:pict>
        </mc:Fallback>
      </mc:AlternateContent>
    </w:r>
    <w:r w:rsidR="00B20C1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aconnmeros"/>
      <w:lvlText w:val="%1."/>
      <w:lvlJc w:val="left"/>
      <w:pPr>
        <w:tabs>
          <w:tab w:val="num" w:pos="360"/>
        </w:tabs>
        <w:ind w:left="360" w:hanging="360"/>
      </w:pPr>
      <w:rPr>
        <w:rFonts w:hint="default"/>
        <w:color w:val="595959" w:themeColor="text1" w:themeTint="A6"/>
      </w:rPr>
    </w:lvl>
  </w:abstractNum>
  <w:abstractNum w:abstractNumId="1">
    <w:nsid w:val="03197A28"/>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8361F0E"/>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4D0226"/>
    <w:multiLevelType w:val="multilevel"/>
    <w:tmpl w:val="08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0E2B44C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B681199"/>
    <w:multiLevelType w:val="multilevel"/>
    <w:tmpl w:val="279CE3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CDE1EA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A36E9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D53150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F6D12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2187BD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1E21E0"/>
    <w:multiLevelType w:val="multilevel"/>
    <w:tmpl w:val="D29EA012"/>
    <w:lvl w:ilvl="0">
      <w:start w:val="1"/>
      <w:numFmt w:val="decimal"/>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3">
    <w:nsid w:val="4F43734C"/>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634F214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378346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60526B5"/>
    <w:multiLevelType w:val="multilevel"/>
    <w:tmpl w:val="08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6CA95284"/>
    <w:multiLevelType w:val="hybridMultilevel"/>
    <w:tmpl w:val="8DB4B09E"/>
    <w:lvl w:ilvl="0" w:tplc="45B4A1B2">
      <w:start w:val="1"/>
      <w:numFmt w:val="bullet"/>
      <w:pStyle w:val="Listaconvieta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7"/>
  </w:num>
  <w:num w:numId="4">
    <w:abstractNumId w:val="6"/>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0"/>
  </w:num>
  <w:num w:numId="9">
    <w:abstractNumId w:val="8"/>
  </w:num>
  <w:num w:numId="10">
    <w:abstractNumId w:val="1"/>
  </w:num>
  <w:num w:numId="11">
    <w:abstractNumId w:val="16"/>
  </w:num>
  <w:num w:numId="12">
    <w:abstractNumId w:val="14"/>
  </w:num>
  <w:num w:numId="13">
    <w:abstractNumId w:val="3"/>
  </w:num>
  <w:num w:numId="14">
    <w:abstractNumId w:val="9"/>
  </w:num>
  <w:num w:numId="15">
    <w:abstractNumId w:val="15"/>
  </w:num>
  <w:num w:numId="16">
    <w:abstractNumId w:val="7"/>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33"/>
    <w:rsid w:val="0001495E"/>
    <w:rsid w:val="0001626D"/>
    <w:rsid w:val="00035454"/>
    <w:rsid w:val="00057BB2"/>
    <w:rsid w:val="000A5150"/>
    <w:rsid w:val="000B22CA"/>
    <w:rsid w:val="000D02CC"/>
    <w:rsid w:val="000D40AA"/>
    <w:rsid w:val="000D68B2"/>
    <w:rsid w:val="000E584C"/>
    <w:rsid w:val="00113202"/>
    <w:rsid w:val="00143A2B"/>
    <w:rsid w:val="00166FFC"/>
    <w:rsid w:val="001725DB"/>
    <w:rsid w:val="00176ED5"/>
    <w:rsid w:val="001C13E2"/>
    <w:rsid w:val="001D0683"/>
    <w:rsid w:val="00205969"/>
    <w:rsid w:val="002263E7"/>
    <w:rsid w:val="00265521"/>
    <w:rsid w:val="00273274"/>
    <w:rsid w:val="002C0A64"/>
    <w:rsid w:val="002E0B9C"/>
    <w:rsid w:val="002E6287"/>
    <w:rsid w:val="002F2A9F"/>
    <w:rsid w:val="00303AE1"/>
    <w:rsid w:val="00341C0A"/>
    <w:rsid w:val="003474DE"/>
    <w:rsid w:val="00357E72"/>
    <w:rsid w:val="003949BD"/>
    <w:rsid w:val="003B321C"/>
    <w:rsid w:val="003F21F5"/>
    <w:rsid w:val="00425411"/>
    <w:rsid w:val="004C28F6"/>
    <w:rsid w:val="004C6DA8"/>
    <w:rsid w:val="004D61A7"/>
    <w:rsid w:val="004E29DC"/>
    <w:rsid w:val="005008D8"/>
    <w:rsid w:val="00524B92"/>
    <w:rsid w:val="00560F76"/>
    <w:rsid w:val="00587770"/>
    <w:rsid w:val="00591FFE"/>
    <w:rsid w:val="005B0A52"/>
    <w:rsid w:val="005B0DC7"/>
    <w:rsid w:val="005C2AAD"/>
    <w:rsid w:val="005D7F4F"/>
    <w:rsid w:val="00623FA6"/>
    <w:rsid w:val="00625009"/>
    <w:rsid w:val="00650E02"/>
    <w:rsid w:val="00655271"/>
    <w:rsid w:val="00691094"/>
    <w:rsid w:val="006A00D9"/>
    <w:rsid w:val="006B1EC9"/>
    <w:rsid w:val="006B7784"/>
    <w:rsid w:val="006E2C05"/>
    <w:rsid w:val="006F16F0"/>
    <w:rsid w:val="006F5E7A"/>
    <w:rsid w:val="00705CA0"/>
    <w:rsid w:val="00714A65"/>
    <w:rsid w:val="00715DEA"/>
    <w:rsid w:val="007520BE"/>
    <w:rsid w:val="007566EF"/>
    <w:rsid w:val="00761BC3"/>
    <w:rsid w:val="00761CCB"/>
    <w:rsid w:val="007C2576"/>
    <w:rsid w:val="007E703A"/>
    <w:rsid w:val="007F106F"/>
    <w:rsid w:val="00814717"/>
    <w:rsid w:val="008434DE"/>
    <w:rsid w:val="00844331"/>
    <w:rsid w:val="008613E1"/>
    <w:rsid w:val="008668C3"/>
    <w:rsid w:val="008E17FB"/>
    <w:rsid w:val="008E6394"/>
    <w:rsid w:val="008F2008"/>
    <w:rsid w:val="008F2858"/>
    <w:rsid w:val="00911229"/>
    <w:rsid w:val="009468A0"/>
    <w:rsid w:val="009603E6"/>
    <w:rsid w:val="009C0993"/>
    <w:rsid w:val="009E413B"/>
    <w:rsid w:val="00A06809"/>
    <w:rsid w:val="00A448C1"/>
    <w:rsid w:val="00A64F27"/>
    <w:rsid w:val="00A65F33"/>
    <w:rsid w:val="00A75F43"/>
    <w:rsid w:val="00A91AFB"/>
    <w:rsid w:val="00AA308A"/>
    <w:rsid w:val="00AA7AA0"/>
    <w:rsid w:val="00AB4981"/>
    <w:rsid w:val="00AD20E5"/>
    <w:rsid w:val="00AD5C3F"/>
    <w:rsid w:val="00AF05BD"/>
    <w:rsid w:val="00AF169A"/>
    <w:rsid w:val="00B01757"/>
    <w:rsid w:val="00B119B8"/>
    <w:rsid w:val="00B20C11"/>
    <w:rsid w:val="00B3051E"/>
    <w:rsid w:val="00B43495"/>
    <w:rsid w:val="00B5204C"/>
    <w:rsid w:val="00B64AD8"/>
    <w:rsid w:val="00B70211"/>
    <w:rsid w:val="00B80261"/>
    <w:rsid w:val="00BA2DB2"/>
    <w:rsid w:val="00BB0FDA"/>
    <w:rsid w:val="00BE1321"/>
    <w:rsid w:val="00BF0057"/>
    <w:rsid w:val="00C3444C"/>
    <w:rsid w:val="00C421DB"/>
    <w:rsid w:val="00C54B3A"/>
    <w:rsid w:val="00C56AD6"/>
    <w:rsid w:val="00C73DCF"/>
    <w:rsid w:val="00C764D7"/>
    <w:rsid w:val="00CA6B4F"/>
    <w:rsid w:val="00CB208F"/>
    <w:rsid w:val="00CC0644"/>
    <w:rsid w:val="00CC5068"/>
    <w:rsid w:val="00CD28BF"/>
    <w:rsid w:val="00D30ED6"/>
    <w:rsid w:val="00D522B9"/>
    <w:rsid w:val="00D72CB4"/>
    <w:rsid w:val="00DA37BB"/>
    <w:rsid w:val="00DA4A43"/>
    <w:rsid w:val="00DA5BEB"/>
    <w:rsid w:val="00DE395C"/>
    <w:rsid w:val="00DF064B"/>
    <w:rsid w:val="00DF6BD2"/>
    <w:rsid w:val="00E105CD"/>
    <w:rsid w:val="00E2411A"/>
    <w:rsid w:val="00E37225"/>
    <w:rsid w:val="00E51439"/>
    <w:rsid w:val="00E52B73"/>
    <w:rsid w:val="00E6251B"/>
    <w:rsid w:val="00EB55BB"/>
    <w:rsid w:val="00ED5C6C"/>
    <w:rsid w:val="00EF36A5"/>
    <w:rsid w:val="00EF506B"/>
    <w:rsid w:val="00F03FBE"/>
    <w:rsid w:val="00F067A8"/>
    <w:rsid w:val="00F355FF"/>
    <w:rsid w:val="00F437C9"/>
    <w:rsid w:val="00F45F61"/>
    <w:rsid w:val="00F542C2"/>
    <w:rsid w:val="00FA3022"/>
    <w:rsid w:val="00FC340A"/>
    <w:rsid w:val="00FC4057"/>
    <w:rsid w:val="00FE1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7"/>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7"/>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7"/>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7"/>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7"/>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6"/>
    <w:semiHidden/>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7"/>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7"/>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7"/>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7"/>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7"/>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6"/>
    <w:semiHidden/>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5096">
      <w:bodyDiv w:val="1"/>
      <w:marLeft w:val="0"/>
      <w:marRight w:val="0"/>
      <w:marTop w:val="0"/>
      <w:marBottom w:val="0"/>
      <w:divBdr>
        <w:top w:val="none" w:sz="0" w:space="0" w:color="auto"/>
        <w:left w:val="none" w:sz="0" w:space="0" w:color="auto"/>
        <w:bottom w:val="none" w:sz="0" w:space="0" w:color="auto"/>
        <w:right w:val="none" w:sz="0" w:space="0" w:color="auto"/>
      </w:divBdr>
    </w:div>
    <w:div w:id="941228111">
      <w:bodyDiv w:val="1"/>
      <w:marLeft w:val="0"/>
      <w:marRight w:val="0"/>
      <w:marTop w:val="0"/>
      <w:marBottom w:val="0"/>
      <w:divBdr>
        <w:top w:val="none" w:sz="0" w:space="0" w:color="auto"/>
        <w:left w:val="none" w:sz="0" w:space="0" w:color="auto"/>
        <w:bottom w:val="none" w:sz="0" w:space="0" w:color="auto"/>
        <w:right w:val="none" w:sz="0" w:space="0" w:color="auto"/>
      </w:divBdr>
    </w:div>
    <w:div w:id="1514033214">
      <w:bodyDiv w:val="1"/>
      <w:marLeft w:val="0"/>
      <w:marRight w:val="0"/>
      <w:marTop w:val="0"/>
      <w:marBottom w:val="0"/>
      <w:divBdr>
        <w:top w:val="none" w:sz="0" w:space="0" w:color="auto"/>
        <w:left w:val="none" w:sz="0" w:space="0" w:color="auto"/>
        <w:bottom w:val="none" w:sz="0" w:space="0" w:color="auto"/>
        <w:right w:val="none" w:sz="0" w:space="0" w:color="auto"/>
      </w:divBdr>
    </w:div>
    <w:div w:id="21444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TF78647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o">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{B024421C-BCCD-4F88-A7FE-0495276A8FF8}</b:Guid>
    <b:RefOrder>1</b:RefOrder>
  </b:Source>
</b:Sources>
</file>

<file path=customXml/itemProps1.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CCEE93-5739-453D-84FF-C8A332C73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TF78647202</Template>
  <TotalTime>0</TotalTime>
  <Pages>10</Pages>
  <Words>3081</Words>
  <Characters>16951</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2020-01-27T17:22:00Z</dcterms:created>
  <dcterms:modified xsi:type="dcterms:W3CDTF">2020-01-28T22:06:00Z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